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25072359" w:rsidR="00214AB7" w:rsidRPr="00EA0D60" w:rsidRDefault="009A15FD" w:rsidP="00214AB7">
      <w:pPr>
        <w:jc w:val="center"/>
      </w:pPr>
      <w:r w:rsidRPr="009A15FD">
        <w:rPr>
          <w:b/>
          <w:iCs/>
          <w:sz w:val="20"/>
          <w:szCs w:val="20"/>
          <w:u w:val="single"/>
          <w:lang w:val="es-CR"/>
        </w:rPr>
        <w:t xml:space="preserve">Leguizamón </w:t>
      </w:r>
      <w:proofErr w:type="spellStart"/>
      <w:r w:rsidRPr="009A15FD">
        <w:rPr>
          <w:b/>
          <w:iCs/>
          <w:sz w:val="20"/>
          <w:szCs w:val="20"/>
          <w:u w:val="single"/>
          <w:lang w:val="es-CR"/>
        </w:rPr>
        <w:t>Zaván</w:t>
      </w:r>
      <w:proofErr w:type="spellEnd"/>
      <w:r w:rsidRPr="009A15FD">
        <w:rPr>
          <w:b/>
          <w:iCs/>
          <w:sz w:val="20"/>
          <w:szCs w:val="20"/>
          <w:u w:val="single"/>
          <w:lang w:val="es-CR"/>
        </w:rPr>
        <w:t xml:space="preserve"> y otros Vs. Paraguay</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02B55">
        <w:rPr>
          <w:b/>
          <w:sz w:val="20"/>
          <w:szCs w:val="20"/>
          <w:u w:val="single"/>
          <w:lang w:val="es-CR"/>
        </w:rPr>
        <w:t>declaradas cumplidas</w:t>
      </w:r>
    </w:p>
    <w:p w14:paraId="766B37B6" w14:textId="77777777" w:rsidR="009A15FD" w:rsidRDefault="009A15FD" w:rsidP="00D045E9">
      <w:pPr>
        <w:jc w:val="both"/>
        <w:rPr>
          <w:sz w:val="20"/>
          <w:szCs w:val="32"/>
        </w:rPr>
      </w:pPr>
    </w:p>
    <w:p w14:paraId="0FC1D77F" w14:textId="5D0E3E91" w:rsidR="00D045E9" w:rsidRDefault="00202B55" w:rsidP="00D045E9">
      <w:pPr>
        <w:jc w:val="both"/>
        <w:rPr>
          <w:sz w:val="20"/>
          <w:szCs w:val="32"/>
        </w:rPr>
      </w:pPr>
      <w:r>
        <w:rPr>
          <w:sz w:val="20"/>
          <w:szCs w:val="32"/>
        </w:rPr>
        <w:t>1</w:t>
      </w:r>
      <w:r w:rsidR="009A15FD">
        <w:rPr>
          <w:sz w:val="20"/>
          <w:szCs w:val="32"/>
        </w:rPr>
        <w:t>.</w:t>
      </w:r>
      <w:r w:rsidR="009A15FD" w:rsidRPr="009A15FD">
        <w:rPr>
          <w:sz w:val="20"/>
          <w:szCs w:val="32"/>
        </w:rPr>
        <w:t xml:space="preserve"> </w:t>
      </w:r>
      <w:r w:rsidR="009A15FD">
        <w:rPr>
          <w:sz w:val="20"/>
          <w:szCs w:val="32"/>
        </w:rPr>
        <w:tab/>
      </w:r>
      <w:r w:rsidR="009A15FD" w:rsidRPr="009A15FD">
        <w:rPr>
          <w:sz w:val="20"/>
          <w:szCs w:val="32"/>
        </w:rPr>
        <w:t>El Estado pagará las cantidades fijadas en los párrafos 132, 133</w:t>
      </w:r>
      <w:r w:rsidR="009A15FD">
        <w:rPr>
          <w:sz w:val="20"/>
          <w:szCs w:val="32"/>
        </w:rPr>
        <w:t xml:space="preserve"> y</w:t>
      </w:r>
      <w:r w:rsidR="009A15FD" w:rsidRPr="009A15FD">
        <w:rPr>
          <w:sz w:val="20"/>
          <w:szCs w:val="32"/>
        </w:rPr>
        <w:t xml:space="preserve"> 138 </w:t>
      </w:r>
      <w:r w:rsidR="009A15FD">
        <w:rPr>
          <w:sz w:val="20"/>
          <w:szCs w:val="32"/>
        </w:rPr>
        <w:t>de</w:t>
      </w:r>
      <w:r w:rsidR="009A15FD" w:rsidRPr="009A15FD">
        <w:rPr>
          <w:sz w:val="20"/>
          <w:szCs w:val="32"/>
        </w:rPr>
        <w:t xml:space="preserve"> la Sentencia, por concepto de indemnizaciones por daños materiales e inmateriales, en los términos de los párrafos 144 a 149 de la Sentencia.</w:t>
      </w:r>
    </w:p>
    <w:p w14:paraId="0789A6E0" w14:textId="77777777" w:rsidR="009A15FD" w:rsidRDefault="009A15FD" w:rsidP="009A15FD">
      <w:pPr>
        <w:jc w:val="both"/>
        <w:rPr>
          <w:sz w:val="20"/>
          <w:szCs w:val="32"/>
        </w:rPr>
      </w:pPr>
    </w:p>
    <w:p w14:paraId="2CF6380D" w14:textId="2A71E452" w:rsidR="009A15FD" w:rsidRDefault="00202B55" w:rsidP="009A15FD">
      <w:pPr>
        <w:jc w:val="both"/>
        <w:rPr>
          <w:sz w:val="20"/>
          <w:szCs w:val="32"/>
        </w:rPr>
      </w:pPr>
      <w:r>
        <w:rPr>
          <w:sz w:val="20"/>
          <w:szCs w:val="32"/>
        </w:rPr>
        <w:t>2</w:t>
      </w:r>
      <w:r w:rsidR="009A15FD" w:rsidRPr="009A15FD">
        <w:rPr>
          <w:sz w:val="20"/>
          <w:szCs w:val="32"/>
        </w:rPr>
        <w:t xml:space="preserve"> </w:t>
      </w:r>
      <w:r w:rsidR="00855772">
        <w:rPr>
          <w:sz w:val="20"/>
          <w:szCs w:val="32"/>
        </w:rPr>
        <w:tab/>
      </w:r>
      <w:r w:rsidR="009A15FD" w:rsidRPr="009A15FD">
        <w:rPr>
          <w:sz w:val="20"/>
          <w:szCs w:val="32"/>
        </w:rPr>
        <w:t xml:space="preserve">El Estado pagará la cantidad fijada en </w:t>
      </w:r>
      <w:r w:rsidR="009A15FD">
        <w:rPr>
          <w:sz w:val="20"/>
          <w:szCs w:val="32"/>
        </w:rPr>
        <w:t>el</w:t>
      </w:r>
      <w:r w:rsidR="009A15FD" w:rsidRPr="009A15FD">
        <w:rPr>
          <w:sz w:val="20"/>
          <w:szCs w:val="32"/>
        </w:rPr>
        <w:t xml:space="preserve"> párrafo 143 de la Sentencia, por concepto </w:t>
      </w:r>
      <w:r w:rsidR="009A15FD">
        <w:rPr>
          <w:sz w:val="20"/>
          <w:szCs w:val="32"/>
        </w:rPr>
        <w:t>del</w:t>
      </w:r>
      <w:r w:rsidR="009A15FD" w:rsidRPr="009A15FD">
        <w:rPr>
          <w:sz w:val="20"/>
          <w:szCs w:val="32"/>
        </w:rPr>
        <w:t xml:space="preserve"> reintegro de costas y gastos, en los términos de los párrafos 144 a 149 de la Sentencia.</w:t>
      </w:r>
    </w:p>
    <w:p w14:paraId="73ED1F3A" w14:textId="77777777" w:rsidR="00202B55" w:rsidRDefault="00202B55" w:rsidP="009A15FD">
      <w:pPr>
        <w:jc w:val="both"/>
        <w:rPr>
          <w:sz w:val="20"/>
          <w:szCs w:val="32"/>
        </w:rPr>
      </w:pPr>
    </w:p>
    <w:p w14:paraId="5C9D3DCC" w14:textId="638D6FE4" w:rsidR="00202B55" w:rsidRPr="00202B55" w:rsidRDefault="00202B55" w:rsidP="009A15FD">
      <w:pPr>
        <w:jc w:val="both"/>
        <w:rPr>
          <w:b/>
          <w:bCs/>
          <w:sz w:val="20"/>
          <w:szCs w:val="32"/>
        </w:rPr>
      </w:pPr>
      <w:r>
        <w:rPr>
          <w:b/>
          <w:bCs/>
          <w:sz w:val="20"/>
          <w:szCs w:val="32"/>
        </w:rPr>
        <w:t>Cumplimiento parcial:</w:t>
      </w:r>
    </w:p>
    <w:p w14:paraId="4AD4F868" w14:textId="77777777" w:rsidR="00202B55" w:rsidRDefault="00202B55" w:rsidP="009A15FD">
      <w:pPr>
        <w:jc w:val="both"/>
        <w:rPr>
          <w:sz w:val="20"/>
          <w:szCs w:val="32"/>
        </w:rPr>
      </w:pPr>
    </w:p>
    <w:p w14:paraId="14AE57EC" w14:textId="0759F1DF" w:rsidR="00202B55" w:rsidRDefault="00202B55" w:rsidP="00202B55">
      <w:pPr>
        <w:jc w:val="both"/>
        <w:rPr>
          <w:sz w:val="20"/>
          <w:szCs w:val="32"/>
        </w:rPr>
      </w:pPr>
      <w:r>
        <w:rPr>
          <w:sz w:val="20"/>
          <w:szCs w:val="32"/>
        </w:rPr>
        <w:t>3</w:t>
      </w:r>
      <w:r w:rsidRPr="009A15FD">
        <w:rPr>
          <w:sz w:val="20"/>
          <w:szCs w:val="32"/>
        </w:rPr>
        <w:t xml:space="preserve">. </w:t>
      </w:r>
      <w:r>
        <w:rPr>
          <w:sz w:val="20"/>
          <w:szCs w:val="32"/>
        </w:rPr>
        <w:tab/>
      </w:r>
      <w:r w:rsidRPr="009A15FD">
        <w:rPr>
          <w:sz w:val="20"/>
          <w:szCs w:val="32"/>
        </w:rPr>
        <w:t xml:space="preserve">El Estado realizará las publicaciones indicadas en los párrafos 107 y 108 de la Sentencia. </w:t>
      </w:r>
    </w:p>
    <w:p w14:paraId="7F6FB473" w14:textId="77777777" w:rsidR="00202B55" w:rsidRDefault="00202B55" w:rsidP="00202B55">
      <w:pPr>
        <w:jc w:val="both"/>
        <w:rPr>
          <w:sz w:val="20"/>
          <w:szCs w:val="32"/>
        </w:rPr>
      </w:pPr>
    </w:p>
    <w:p w14:paraId="4CF62DA6" w14:textId="77777777" w:rsidR="00833BDC" w:rsidRPr="00105B9D" w:rsidRDefault="00833BDC" w:rsidP="00833BDC">
      <w:pPr>
        <w:jc w:val="both"/>
        <w:rPr>
          <w:rFonts w:eastAsia="Cambria" w:cs="Times New Roman"/>
          <w:bCs/>
          <w:sz w:val="20"/>
          <w:szCs w:val="16"/>
          <w:lang w:val="es-ES"/>
        </w:rPr>
      </w:pPr>
      <w:r w:rsidRPr="00105B9D">
        <w:rPr>
          <w:rFonts w:eastAsia="Cambria" w:cs="Times New Roman"/>
          <w:bCs/>
          <w:sz w:val="20"/>
          <w:szCs w:val="16"/>
        </w:rPr>
        <w:t xml:space="preserve">En los Considerandos </w:t>
      </w:r>
      <w:r>
        <w:rPr>
          <w:rFonts w:eastAsia="Cambria" w:cs="Times New Roman"/>
          <w:bCs/>
          <w:sz w:val="20"/>
          <w:szCs w:val="16"/>
        </w:rPr>
        <w:t>5 y 6</w:t>
      </w:r>
      <w:r w:rsidRPr="00105B9D">
        <w:rPr>
          <w:rFonts w:eastAsia="Cambria" w:cs="Times New Roman"/>
          <w:bCs/>
          <w:sz w:val="20"/>
          <w:szCs w:val="16"/>
        </w:rPr>
        <w:t xml:space="preserve"> de la Resolución de la Corte de </w:t>
      </w:r>
      <w:r>
        <w:rPr>
          <w:rFonts w:eastAsia="Cambria" w:cs="Times New Roman"/>
          <w:bCs/>
          <w:sz w:val="20"/>
          <w:szCs w:val="16"/>
        </w:rPr>
        <w:t>5 de septiembre</w:t>
      </w:r>
      <w:r w:rsidRPr="00105B9D">
        <w:rPr>
          <w:rFonts w:eastAsia="Cambria" w:cs="Times New Roman"/>
          <w:bCs/>
          <w:sz w:val="20"/>
          <w:szCs w:val="16"/>
        </w:rPr>
        <w:t xml:space="preserve"> de 2024, se explica lo que continúa pendiente de cumplimiento respecto a la presente medida de reparación:</w:t>
      </w:r>
    </w:p>
    <w:p w14:paraId="10880360" w14:textId="77777777" w:rsidR="00833BDC" w:rsidRPr="00833BDC" w:rsidRDefault="00833BDC" w:rsidP="00202B55">
      <w:pPr>
        <w:jc w:val="both"/>
        <w:rPr>
          <w:sz w:val="20"/>
          <w:szCs w:val="32"/>
          <w:lang w:val="es-ES"/>
        </w:rPr>
      </w:pPr>
    </w:p>
    <w:p w14:paraId="64E70B91" w14:textId="60A99E51" w:rsidR="00C016ED" w:rsidRPr="00C016ED" w:rsidRDefault="00C016ED" w:rsidP="00C016ED">
      <w:pPr>
        <w:ind w:left="720"/>
        <w:jc w:val="both"/>
        <w:rPr>
          <w:sz w:val="18"/>
          <w:szCs w:val="30"/>
        </w:rPr>
      </w:pPr>
      <w:r w:rsidRPr="00C016ED">
        <w:rPr>
          <w:sz w:val="18"/>
          <w:szCs w:val="30"/>
        </w:rPr>
        <w:t xml:space="preserve">5. </w:t>
      </w:r>
      <w:r w:rsidRPr="00C016ED">
        <w:rPr>
          <w:sz w:val="18"/>
          <w:szCs w:val="30"/>
        </w:rPr>
        <w:tab/>
      </w:r>
      <w:r w:rsidRPr="00C016ED">
        <w:rPr>
          <w:sz w:val="18"/>
          <w:szCs w:val="30"/>
        </w:rPr>
        <w:t xml:space="preserve">Finalmente, en relación con el componente de la medida relativo a la publicación del resumen oficial de la Sentencia en un “medio de comunicación de amplia circulación nacional”, en junio de 2023 el Estado señaló que se encontraba “articulando consultas interinstitucionales a fin de dar cumplimiento”. No obstante, no ha presentado información sobre el resultado de tales consultas ni respecto a avances concretos en la implementación de este extremo. Tomando en consideración que el plazo para la ejecución de esta medida venció el 19 de junio de 2023, el Tribunal requiere al Estado darle pronto cumplimiento. </w:t>
      </w:r>
    </w:p>
    <w:p w14:paraId="1CA7642D" w14:textId="77777777" w:rsidR="00C016ED" w:rsidRPr="00C016ED" w:rsidRDefault="00C016ED" w:rsidP="00C016ED">
      <w:pPr>
        <w:ind w:left="720"/>
        <w:jc w:val="both"/>
        <w:rPr>
          <w:sz w:val="18"/>
          <w:szCs w:val="30"/>
        </w:rPr>
      </w:pPr>
    </w:p>
    <w:p w14:paraId="14A77647" w14:textId="662B65F6" w:rsidR="00C016ED" w:rsidRPr="00C016ED" w:rsidRDefault="00C016ED" w:rsidP="00C016ED">
      <w:pPr>
        <w:ind w:left="720"/>
        <w:jc w:val="both"/>
        <w:rPr>
          <w:sz w:val="18"/>
          <w:szCs w:val="30"/>
        </w:rPr>
      </w:pPr>
      <w:r w:rsidRPr="00C016ED">
        <w:rPr>
          <w:sz w:val="18"/>
          <w:szCs w:val="30"/>
        </w:rPr>
        <w:t xml:space="preserve">6. </w:t>
      </w:r>
      <w:r w:rsidRPr="00C016ED">
        <w:rPr>
          <w:sz w:val="18"/>
          <w:szCs w:val="30"/>
        </w:rPr>
        <w:tab/>
      </w:r>
      <w:r w:rsidRPr="00C016ED">
        <w:rPr>
          <w:sz w:val="18"/>
          <w:szCs w:val="30"/>
        </w:rPr>
        <w:t>En virtud de lo expuesto, el Estado ha dado cumplimiento a la mayoría de los componentes de las medidas relativas a la publicación y difusión de la Sentencia y su resumen oficial, ordenadas en el punto resolutivo séptimo del Fallo, de manera que únicamente se encuentra pendiente la publicación del resumen oficial de la Sentencia en un medio de comunicación de amplia circulación nacional.</w:t>
      </w:r>
    </w:p>
    <w:p w14:paraId="31DA0995" w14:textId="77777777" w:rsidR="00202B55" w:rsidRPr="00202B55" w:rsidRDefault="00202B55" w:rsidP="00C016ED">
      <w:pPr>
        <w:ind w:left="720"/>
        <w:jc w:val="both"/>
        <w:rPr>
          <w:rFonts w:eastAsia="Cambria" w:cs="Times New Roman"/>
          <w:bCs/>
          <w:sz w:val="32"/>
        </w:rPr>
      </w:pPr>
    </w:p>
    <w:sectPr w:rsidR="00202B55" w:rsidRPr="00202B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BD7C" w14:textId="77777777" w:rsidR="00904A40" w:rsidRDefault="00904A40" w:rsidP="009F7EF4">
      <w:r>
        <w:separator/>
      </w:r>
    </w:p>
  </w:endnote>
  <w:endnote w:type="continuationSeparator" w:id="0">
    <w:p w14:paraId="554E8E4F" w14:textId="77777777" w:rsidR="00904A40" w:rsidRDefault="00904A4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2EFCD" w14:textId="77777777" w:rsidR="00904A40" w:rsidRDefault="00904A40" w:rsidP="009F7EF4">
      <w:r>
        <w:separator/>
      </w:r>
    </w:p>
  </w:footnote>
  <w:footnote w:type="continuationSeparator" w:id="0">
    <w:p w14:paraId="6E0410DC" w14:textId="77777777" w:rsidR="00904A40" w:rsidRDefault="00904A4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101CC6"/>
    <w:rsid w:val="00105B9D"/>
    <w:rsid w:val="001426AA"/>
    <w:rsid w:val="001729AE"/>
    <w:rsid w:val="001F3394"/>
    <w:rsid w:val="00202B55"/>
    <w:rsid w:val="00206FE0"/>
    <w:rsid w:val="00214AB7"/>
    <w:rsid w:val="00291327"/>
    <w:rsid w:val="00296F77"/>
    <w:rsid w:val="002B3295"/>
    <w:rsid w:val="002E376C"/>
    <w:rsid w:val="003A7E5E"/>
    <w:rsid w:val="003C561A"/>
    <w:rsid w:val="003E2FF4"/>
    <w:rsid w:val="00467507"/>
    <w:rsid w:val="00474D04"/>
    <w:rsid w:val="00476F6E"/>
    <w:rsid w:val="00484D15"/>
    <w:rsid w:val="004D4FC6"/>
    <w:rsid w:val="005154EE"/>
    <w:rsid w:val="005A203D"/>
    <w:rsid w:val="005D1A85"/>
    <w:rsid w:val="006022F0"/>
    <w:rsid w:val="00617B3E"/>
    <w:rsid w:val="006A777A"/>
    <w:rsid w:val="006C38A6"/>
    <w:rsid w:val="006E15DE"/>
    <w:rsid w:val="00792165"/>
    <w:rsid w:val="00833BDC"/>
    <w:rsid w:val="00834F1A"/>
    <w:rsid w:val="00855772"/>
    <w:rsid w:val="00867C2F"/>
    <w:rsid w:val="00876E46"/>
    <w:rsid w:val="00904A40"/>
    <w:rsid w:val="00926FFB"/>
    <w:rsid w:val="00955D28"/>
    <w:rsid w:val="009832C0"/>
    <w:rsid w:val="009A15FD"/>
    <w:rsid w:val="009D22BE"/>
    <w:rsid w:val="009D6A26"/>
    <w:rsid w:val="009F7EF4"/>
    <w:rsid w:val="00A1649A"/>
    <w:rsid w:val="00A721F8"/>
    <w:rsid w:val="00AA2296"/>
    <w:rsid w:val="00AA6B2F"/>
    <w:rsid w:val="00AE0035"/>
    <w:rsid w:val="00B005CF"/>
    <w:rsid w:val="00B03BA7"/>
    <w:rsid w:val="00B11B9B"/>
    <w:rsid w:val="00B32A37"/>
    <w:rsid w:val="00B33305"/>
    <w:rsid w:val="00BA6BA9"/>
    <w:rsid w:val="00BC5824"/>
    <w:rsid w:val="00BE56CA"/>
    <w:rsid w:val="00BF3ECD"/>
    <w:rsid w:val="00C016ED"/>
    <w:rsid w:val="00C04CCC"/>
    <w:rsid w:val="00C4747D"/>
    <w:rsid w:val="00C66067"/>
    <w:rsid w:val="00C807CF"/>
    <w:rsid w:val="00CA1142"/>
    <w:rsid w:val="00CD14E6"/>
    <w:rsid w:val="00CF3296"/>
    <w:rsid w:val="00CF5AE9"/>
    <w:rsid w:val="00D042E3"/>
    <w:rsid w:val="00D045E9"/>
    <w:rsid w:val="00D26E80"/>
    <w:rsid w:val="00D3440D"/>
    <w:rsid w:val="00D843BF"/>
    <w:rsid w:val="00E42392"/>
    <w:rsid w:val="00E45105"/>
    <w:rsid w:val="00E50670"/>
    <w:rsid w:val="00E507C2"/>
    <w:rsid w:val="00E5304C"/>
    <w:rsid w:val="00E85D9E"/>
    <w:rsid w:val="00ED29C6"/>
    <w:rsid w:val="00F243DB"/>
    <w:rsid w:val="00F50093"/>
    <w:rsid w:val="00F97B7C"/>
    <w:rsid w:val="00FD5F7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276</Words>
  <Characters>1518</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36</cp:revision>
  <cp:lastPrinted>2024-11-04T22:58:00Z</cp:lastPrinted>
  <dcterms:created xsi:type="dcterms:W3CDTF">2018-07-09T19:23:00Z</dcterms:created>
  <dcterms:modified xsi:type="dcterms:W3CDTF">2024-11-04T22:58:00Z</dcterms:modified>
</cp:coreProperties>
</file>