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E751B" w14:textId="74C08F1F" w:rsidR="00B04E92" w:rsidRPr="00B04E92" w:rsidRDefault="00B04E92" w:rsidP="00B04E92">
      <w:pPr>
        <w:spacing w:after="0" w:line="240" w:lineRule="auto"/>
        <w:jc w:val="center"/>
        <w:rPr>
          <w:rFonts w:ascii="Verdana" w:eastAsia="Calibri" w:hAnsi="Verdana" w:cs="Times New Roman"/>
          <w:b/>
          <w:kern w:val="0"/>
          <w:sz w:val="20"/>
          <w:szCs w:val="20"/>
          <w:u w:val="single"/>
          <w:lang w:val="es-ES"/>
          <w14:ligatures w14:val="none"/>
        </w:rPr>
      </w:pPr>
      <w:r w:rsidRPr="00B04E92">
        <w:rPr>
          <w:rFonts w:ascii="Verdana" w:eastAsia="Calibri" w:hAnsi="Verdana" w:cs="Times New Roman"/>
          <w:b/>
          <w:kern w:val="0"/>
          <w:sz w:val="20"/>
          <w:szCs w:val="20"/>
          <w:u w:val="single"/>
          <w:lang w:val="es-ES"/>
          <w14:ligatures w14:val="none"/>
        </w:rPr>
        <w:t xml:space="preserve">Caso </w:t>
      </w:r>
      <w:r>
        <w:rPr>
          <w:rFonts w:ascii="Verdana" w:eastAsia="Calibri" w:hAnsi="Verdana" w:cs="Times New Roman"/>
          <w:b/>
          <w:kern w:val="0"/>
          <w:sz w:val="20"/>
          <w:szCs w:val="20"/>
          <w:u w:val="single"/>
          <w:lang w:val="es-ES"/>
          <w14:ligatures w14:val="none"/>
        </w:rPr>
        <w:t>Pérez Lucas y otros</w:t>
      </w:r>
      <w:r w:rsidRPr="00B04E92">
        <w:rPr>
          <w:rFonts w:ascii="Verdana" w:eastAsia="Calibri" w:hAnsi="Verdana" w:cs="Times New Roman"/>
          <w:b/>
          <w:kern w:val="0"/>
          <w:sz w:val="20"/>
          <w:szCs w:val="20"/>
          <w:u w:val="single"/>
          <w:lang w:val="es-ES"/>
          <w14:ligatures w14:val="none"/>
        </w:rPr>
        <w:t xml:space="preserve"> </w:t>
      </w:r>
      <w:r w:rsidRPr="00B04E92">
        <w:rPr>
          <w:rFonts w:ascii="Verdana" w:eastAsia="Calibri" w:hAnsi="Verdana" w:cs="Times New Roman"/>
          <w:b/>
          <w:i/>
          <w:kern w:val="0"/>
          <w:sz w:val="20"/>
          <w:szCs w:val="20"/>
          <w:u w:val="single"/>
          <w:lang w:val="es-ES"/>
          <w14:ligatures w14:val="none"/>
        </w:rPr>
        <w:t>Vs</w:t>
      </w:r>
      <w:r w:rsidRPr="00B04E92">
        <w:rPr>
          <w:rFonts w:ascii="Verdana" w:eastAsia="Calibri" w:hAnsi="Verdana" w:cs="Times New Roman"/>
          <w:b/>
          <w:kern w:val="0"/>
          <w:sz w:val="20"/>
          <w:szCs w:val="20"/>
          <w:u w:val="single"/>
          <w:lang w:val="es-ES"/>
          <w14:ligatures w14:val="none"/>
        </w:rPr>
        <w:t xml:space="preserve">. </w:t>
      </w:r>
      <w:r w:rsidRPr="00B04E92">
        <w:rPr>
          <w:rFonts w:ascii="Verdana" w:eastAsia="Calibri" w:hAnsi="Verdana" w:cs="Times New Roman"/>
          <w:b/>
          <w:kern w:val="0"/>
          <w:sz w:val="20"/>
          <w:szCs w:val="20"/>
          <w:u w:val="single"/>
          <w:lang w:val="es-MX"/>
          <w14:ligatures w14:val="none"/>
        </w:rPr>
        <w:t>Guatemala:</w:t>
      </w:r>
      <w:r w:rsidRPr="00B04E92">
        <w:rPr>
          <w:rFonts w:ascii="Verdana" w:eastAsia="Calibri" w:hAnsi="Verdana" w:cs="Times New Roman"/>
          <w:b/>
          <w:kern w:val="0"/>
          <w:sz w:val="20"/>
          <w:szCs w:val="20"/>
          <w:u w:val="single"/>
          <w:lang w:val="es-ES"/>
          <w14:ligatures w14:val="none"/>
        </w:rPr>
        <w:t xml:space="preserve"> reparaciones pendientes de cumplimiento</w:t>
      </w:r>
    </w:p>
    <w:p w14:paraId="5E9F3D49" w14:textId="77777777" w:rsidR="00B04E92" w:rsidRPr="00B04E92" w:rsidRDefault="00B04E92" w:rsidP="00B04E92">
      <w:pPr>
        <w:spacing w:after="0" w:line="240" w:lineRule="auto"/>
        <w:jc w:val="center"/>
        <w:rPr>
          <w:rFonts w:ascii="Verdana" w:eastAsia="Calibri" w:hAnsi="Verdana" w:cs="Times New Roman"/>
          <w:b/>
          <w:kern w:val="0"/>
          <w:sz w:val="22"/>
          <w:szCs w:val="22"/>
          <w:u w:val="single"/>
          <w:lang w:val="es-ES"/>
          <w14:ligatures w14:val="none"/>
        </w:rPr>
      </w:pPr>
    </w:p>
    <w:p w14:paraId="7ED8C901" w14:textId="5DA42592"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El Estado continuará e impulsará, en un plazo razonable y con la debida diligencia, las</w:t>
      </w:r>
      <w:r>
        <w:rPr>
          <w:rFonts w:ascii="Verdana" w:eastAsia="Calibri" w:hAnsi="Verdana" w:cs="Times New Roman"/>
          <w:sz w:val="20"/>
          <w:szCs w:val="20"/>
          <w:lang w:val="es-ES"/>
        </w:rPr>
        <w:t xml:space="preserve"> </w:t>
      </w:r>
      <w:r w:rsidRPr="00B04E92">
        <w:rPr>
          <w:rFonts w:ascii="Verdana" w:eastAsia="Calibri" w:hAnsi="Verdana" w:cs="Times New Roman"/>
          <w:sz w:val="20"/>
          <w:szCs w:val="20"/>
          <w:lang w:val="es-ES"/>
        </w:rPr>
        <w:t xml:space="preserve">investigaciones que sean necesarias para determinar lo sucedido a Agapito Pérez Lucas, Nicolás Mateo, Macario </w:t>
      </w:r>
      <w:proofErr w:type="spellStart"/>
      <w:r w:rsidRPr="00B04E92">
        <w:rPr>
          <w:rFonts w:ascii="Verdana" w:eastAsia="Calibri" w:hAnsi="Verdana" w:cs="Times New Roman"/>
          <w:sz w:val="20"/>
          <w:szCs w:val="20"/>
          <w:lang w:val="es-ES"/>
        </w:rPr>
        <w:t>Pú</w:t>
      </w:r>
      <w:proofErr w:type="spellEnd"/>
      <w:r w:rsidRPr="00B04E92">
        <w:rPr>
          <w:rFonts w:ascii="Verdana" w:eastAsia="Calibri" w:hAnsi="Verdana" w:cs="Times New Roman"/>
          <w:sz w:val="20"/>
          <w:szCs w:val="20"/>
          <w:lang w:val="es-ES"/>
        </w:rPr>
        <w:t xml:space="preserve"> </w:t>
      </w:r>
      <w:proofErr w:type="spellStart"/>
      <w:r w:rsidRPr="00B04E92">
        <w:rPr>
          <w:rFonts w:ascii="Verdana" w:eastAsia="Calibri" w:hAnsi="Verdana" w:cs="Times New Roman"/>
          <w:sz w:val="20"/>
          <w:szCs w:val="20"/>
          <w:lang w:val="es-ES"/>
        </w:rPr>
        <w:t>Chivalán</w:t>
      </w:r>
      <w:proofErr w:type="spellEnd"/>
      <w:r w:rsidRPr="00B04E92">
        <w:rPr>
          <w:rFonts w:ascii="Verdana" w:eastAsia="Calibri" w:hAnsi="Verdana" w:cs="Times New Roman"/>
          <w:sz w:val="20"/>
          <w:szCs w:val="20"/>
          <w:lang w:val="es-ES"/>
        </w:rPr>
        <w:t xml:space="preserve"> y Luis Ruiz Luis, a fin de identificar, juzgar y, en su caso, sancionar a los responsables, en los términos de los párrafos 200 y 201 de la Sentencia.</w:t>
      </w:r>
    </w:p>
    <w:p w14:paraId="4A16348C" w14:textId="50EABCE5"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 xml:space="preserve">El Estado realizará, a la mayor brevedad posible, una búsqueda seria y con la debida diligencia, empleando todos los esfuerzos posibles, de manera sistemática y rigurosa, con personal capacitado y los recursos técnicos y científicos necesarios, adecuados e idóneos para determinar el paradero de Agapito Pérez Lucas, Nicolás Mateo, Macario </w:t>
      </w:r>
      <w:proofErr w:type="spellStart"/>
      <w:r w:rsidRPr="00B04E92">
        <w:rPr>
          <w:rFonts w:ascii="Verdana" w:eastAsia="Calibri" w:hAnsi="Verdana" w:cs="Times New Roman"/>
          <w:sz w:val="20"/>
          <w:szCs w:val="20"/>
          <w:lang w:val="es-ES"/>
        </w:rPr>
        <w:t>Pú</w:t>
      </w:r>
      <w:proofErr w:type="spellEnd"/>
      <w:r w:rsidRPr="00B04E92">
        <w:rPr>
          <w:rFonts w:ascii="Verdana" w:eastAsia="Calibri" w:hAnsi="Verdana" w:cs="Times New Roman"/>
          <w:sz w:val="20"/>
          <w:szCs w:val="20"/>
          <w:lang w:val="es-ES"/>
        </w:rPr>
        <w:t xml:space="preserve"> </w:t>
      </w:r>
      <w:proofErr w:type="spellStart"/>
      <w:r w:rsidRPr="00B04E92">
        <w:rPr>
          <w:rFonts w:ascii="Verdana" w:eastAsia="Calibri" w:hAnsi="Verdana" w:cs="Times New Roman"/>
          <w:sz w:val="20"/>
          <w:szCs w:val="20"/>
          <w:lang w:val="es-ES"/>
        </w:rPr>
        <w:t>Chivalán</w:t>
      </w:r>
      <w:proofErr w:type="spellEnd"/>
      <w:r w:rsidRPr="00B04E92">
        <w:rPr>
          <w:rFonts w:ascii="Verdana" w:eastAsia="Calibri" w:hAnsi="Verdana" w:cs="Times New Roman"/>
          <w:sz w:val="20"/>
          <w:szCs w:val="20"/>
          <w:lang w:val="es-ES"/>
        </w:rPr>
        <w:t xml:space="preserve"> y Luis Ruiz Luis, en los términos de los párrafos 202 y 204 de la Sentencia.</w:t>
      </w:r>
    </w:p>
    <w:p w14:paraId="5C1E64DB" w14:textId="1510198D"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El Estado brindará el tratamiento psicológico, psiquiátrico y/o psicosocial que requieran las víctimas, en los términos de los párrafos 208 a 210 de la Sentencia.</w:t>
      </w:r>
    </w:p>
    <w:p w14:paraId="617238CE" w14:textId="125EE01F"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 xml:space="preserve">El Estado realizará un acto público de reconocimiento de responsabilidad internacional, en relación con los hechos de este caso, en los términos del párrafo 215 de </w:t>
      </w:r>
      <w:r>
        <w:rPr>
          <w:rFonts w:ascii="Verdana" w:eastAsia="Calibri" w:hAnsi="Verdana" w:cs="Times New Roman"/>
          <w:sz w:val="20"/>
          <w:szCs w:val="20"/>
          <w:lang w:val="es-ES"/>
        </w:rPr>
        <w:t>la</w:t>
      </w:r>
      <w:r w:rsidRPr="00B04E92">
        <w:rPr>
          <w:rFonts w:ascii="Verdana" w:eastAsia="Calibri" w:hAnsi="Verdana" w:cs="Times New Roman"/>
          <w:sz w:val="20"/>
          <w:szCs w:val="20"/>
          <w:lang w:val="es-ES"/>
        </w:rPr>
        <w:t xml:space="preserve"> Sentencia.</w:t>
      </w:r>
    </w:p>
    <w:p w14:paraId="6FF2281F" w14:textId="359732EF"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 xml:space="preserve">El Estado llevará a cabo las medidas de publicación y difusión de la Sentencia, el resumen oficial y el comunicado de prensa oficial, indicadas en los párrafos 216 a 218 de </w:t>
      </w:r>
      <w:r>
        <w:rPr>
          <w:rFonts w:ascii="Verdana" w:eastAsia="Calibri" w:hAnsi="Verdana" w:cs="Times New Roman"/>
          <w:sz w:val="20"/>
          <w:szCs w:val="20"/>
          <w:lang w:val="es-ES"/>
        </w:rPr>
        <w:t>la</w:t>
      </w:r>
      <w:r w:rsidRPr="00B04E92">
        <w:rPr>
          <w:rFonts w:ascii="Verdana" w:eastAsia="Calibri" w:hAnsi="Verdana" w:cs="Times New Roman"/>
          <w:sz w:val="20"/>
          <w:szCs w:val="20"/>
          <w:lang w:val="es-ES"/>
        </w:rPr>
        <w:t xml:space="preserve"> Sentencia.</w:t>
      </w:r>
    </w:p>
    <w:p w14:paraId="52EFDEA3" w14:textId="43C709D6"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 xml:space="preserve">El Estado diseñará, implementará y pondrá en funcionamiento una estrategia, mecanismo o programa nacional para la búsqueda de personas que hayan sido víctimas de desaparición forzada, incluidas aquellas personas desaparecidas en el contexto del conflicto armado interno, en los términos de los párrafos 226 a 232 de </w:t>
      </w:r>
      <w:r>
        <w:rPr>
          <w:rFonts w:ascii="Verdana" w:eastAsia="Calibri" w:hAnsi="Verdana" w:cs="Times New Roman"/>
          <w:sz w:val="20"/>
          <w:szCs w:val="20"/>
          <w:lang w:val="es-ES"/>
        </w:rPr>
        <w:t>la</w:t>
      </w:r>
      <w:r w:rsidRPr="00B04E92">
        <w:rPr>
          <w:rFonts w:ascii="Verdana" w:eastAsia="Calibri" w:hAnsi="Verdana" w:cs="Times New Roman"/>
          <w:sz w:val="20"/>
          <w:szCs w:val="20"/>
          <w:lang w:val="es-ES"/>
        </w:rPr>
        <w:t xml:space="preserve"> Sentencia.</w:t>
      </w:r>
    </w:p>
    <w:p w14:paraId="7D372261" w14:textId="2EAA4CF5"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 xml:space="preserve">El Estado diseñará, implementará y ejecutará una política pública que garantice la adecuada gestión, desclasificación, conservación y acceso a los archivos y registros documentales de las fuerzas de seguridad, relacionados con el conflicto armado interno, en los términos de los párrafos 233 a 237 de </w:t>
      </w:r>
      <w:r>
        <w:rPr>
          <w:rFonts w:ascii="Verdana" w:eastAsia="Calibri" w:hAnsi="Verdana" w:cs="Times New Roman"/>
          <w:sz w:val="20"/>
          <w:szCs w:val="20"/>
          <w:lang w:val="es-ES"/>
        </w:rPr>
        <w:t>la</w:t>
      </w:r>
      <w:r w:rsidRPr="00B04E92">
        <w:rPr>
          <w:rFonts w:ascii="Verdana" w:eastAsia="Calibri" w:hAnsi="Verdana" w:cs="Times New Roman"/>
          <w:sz w:val="20"/>
          <w:szCs w:val="20"/>
          <w:lang w:val="es-ES"/>
        </w:rPr>
        <w:t xml:space="preserve"> Sentencia.</w:t>
      </w:r>
    </w:p>
    <w:p w14:paraId="0BC057BC" w14:textId="77777777"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El Estado diseñará y ejecutará un plan de fortalecimiento de la Institución del Procurador de los Derechos Humanos, en los términos de los párrafos 240 a 242 de esta Sentencia.</w:t>
      </w:r>
    </w:p>
    <w:p w14:paraId="640C6571" w14:textId="77777777"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 xml:space="preserve">El Estado implementará una política para la protección de las personas defensoras de derechos humanos, en los términos de los párrafos 243 a 246 de </w:t>
      </w:r>
      <w:r>
        <w:rPr>
          <w:rFonts w:ascii="Verdana" w:eastAsia="Calibri" w:hAnsi="Verdana" w:cs="Times New Roman"/>
          <w:sz w:val="20"/>
          <w:szCs w:val="20"/>
          <w:lang w:val="es-ES"/>
        </w:rPr>
        <w:t>la</w:t>
      </w:r>
      <w:r w:rsidRPr="00B04E92">
        <w:rPr>
          <w:rFonts w:ascii="Verdana" w:eastAsia="Calibri" w:hAnsi="Verdana" w:cs="Times New Roman"/>
          <w:sz w:val="20"/>
          <w:szCs w:val="20"/>
          <w:lang w:val="es-ES"/>
        </w:rPr>
        <w:t xml:space="preserve"> Sentencia.</w:t>
      </w:r>
    </w:p>
    <w:p w14:paraId="0B579DCC" w14:textId="3579728A" w:rsid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 xml:space="preserve">El Estado pagará las cantidades fijadas en los párrafos 262 a 265, 268, 269, 274 y 275 de este Fallo por conceptos de indemnización de daños materiales, daños inmateriales </w:t>
      </w:r>
      <w:r>
        <w:rPr>
          <w:rFonts w:ascii="Verdana" w:eastAsia="Calibri" w:hAnsi="Verdana" w:cs="Times New Roman"/>
          <w:sz w:val="20"/>
          <w:szCs w:val="20"/>
          <w:lang w:val="es-ES"/>
        </w:rPr>
        <w:t>[…]</w:t>
      </w:r>
      <w:r w:rsidRPr="00B04E92">
        <w:rPr>
          <w:rFonts w:ascii="Verdana" w:eastAsia="Calibri" w:hAnsi="Verdana" w:cs="Times New Roman"/>
          <w:sz w:val="20"/>
          <w:szCs w:val="20"/>
          <w:lang w:val="es-ES"/>
        </w:rPr>
        <w:t xml:space="preserve"> en los términos de los párrafos 277 a 282 de la Sentencia.</w:t>
      </w:r>
    </w:p>
    <w:p w14:paraId="0A62FC8A" w14:textId="56855CE4" w:rsidR="00B04E92" w:rsidRPr="00B04E92" w:rsidRDefault="00B04E92" w:rsidP="00B04E92">
      <w:pPr>
        <w:numPr>
          <w:ilvl w:val="0"/>
          <w:numId w:val="1"/>
        </w:numPr>
        <w:spacing w:after="200" w:line="256" w:lineRule="auto"/>
        <w:ind w:left="0" w:firstLine="0"/>
        <w:contextualSpacing/>
        <w:jc w:val="both"/>
        <w:rPr>
          <w:rFonts w:ascii="Verdana" w:eastAsia="Calibri" w:hAnsi="Verdana" w:cs="Times New Roman"/>
          <w:sz w:val="20"/>
          <w:szCs w:val="20"/>
          <w:lang w:val="es-ES"/>
        </w:rPr>
      </w:pPr>
      <w:r w:rsidRPr="00B04E92">
        <w:rPr>
          <w:rFonts w:ascii="Verdana" w:eastAsia="Calibri" w:hAnsi="Verdana" w:cs="Times New Roman"/>
          <w:sz w:val="20"/>
          <w:szCs w:val="20"/>
          <w:lang w:val="es-ES"/>
        </w:rPr>
        <w:t xml:space="preserve">El Estado pagará las cantidades fijadas en los párrafos 262 a 265, 268, 269, 274 y 275 de este Fallo por </w:t>
      </w:r>
      <w:r>
        <w:rPr>
          <w:rFonts w:ascii="Verdana" w:eastAsia="Calibri" w:hAnsi="Verdana" w:cs="Times New Roman"/>
          <w:sz w:val="20"/>
          <w:szCs w:val="20"/>
          <w:lang w:val="es-ES"/>
        </w:rPr>
        <w:t>[…]</w:t>
      </w:r>
      <w:r w:rsidRPr="00B04E92">
        <w:rPr>
          <w:rFonts w:ascii="Verdana" w:eastAsia="Calibri" w:hAnsi="Verdana" w:cs="Times New Roman"/>
          <w:sz w:val="20"/>
          <w:szCs w:val="20"/>
          <w:lang w:val="es-ES"/>
        </w:rPr>
        <w:t xml:space="preserve"> reintegro de costas y gastos, en los términos de los párrafos 277 a 282 de la Sentencia.</w:t>
      </w:r>
    </w:p>
    <w:p w14:paraId="4323A430" w14:textId="77777777" w:rsidR="002C0B9B" w:rsidRPr="00B04E92" w:rsidRDefault="002C0B9B">
      <w:pPr>
        <w:rPr>
          <w:lang w:val="es-ES"/>
        </w:rPr>
      </w:pPr>
    </w:p>
    <w:sectPr w:rsidR="002C0B9B" w:rsidRPr="00B04E9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5938" w14:textId="77777777" w:rsidR="00A97751" w:rsidRDefault="00A97751" w:rsidP="00D4485B">
      <w:pPr>
        <w:spacing w:after="0" w:line="240" w:lineRule="auto"/>
      </w:pPr>
      <w:r>
        <w:separator/>
      </w:r>
    </w:p>
  </w:endnote>
  <w:endnote w:type="continuationSeparator" w:id="0">
    <w:p w14:paraId="66ACBD3A" w14:textId="77777777" w:rsidR="00A97751" w:rsidRDefault="00A97751" w:rsidP="00D4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62A1" w14:textId="77777777" w:rsidR="00D4485B" w:rsidRPr="009B6E42" w:rsidRDefault="00D4485B" w:rsidP="00D4485B">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FE89683" w14:textId="77777777" w:rsidR="00D4485B" w:rsidRPr="00D4485B" w:rsidRDefault="00D448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FF66" w14:textId="77777777" w:rsidR="00A97751" w:rsidRDefault="00A97751" w:rsidP="00D4485B">
      <w:pPr>
        <w:spacing w:after="0" w:line="240" w:lineRule="auto"/>
      </w:pPr>
      <w:r>
        <w:separator/>
      </w:r>
    </w:p>
  </w:footnote>
  <w:footnote w:type="continuationSeparator" w:id="0">
    <w:p w14:paraId="7E0EA457" w14:textId="77777777" w:rsidR="00A97751" w:rsidRDefault="00A97751" w:rsidP="00D4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D4D6E"/>
    <w:multiLevelType w:val="hybridMultilevel"/>
    <w:tmpl w:val="7392460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113863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92"/>
    <w:rsid w:val="0024083C"/>
    <w:rsid w:val="002C0B9B"/>
    <w:rsid w:val="00430CC8"/>
    <w:rsid w:val="008F13EC"/>
    <w:rsid w:val="00A97751"/>
    <w:rsid w:val="00AF4881"/>
    <w:rsid w:val="00B04E92"/>
    <w:rsid w:val="00C55FBF"/>
    <w:rsid w:val="00C60D85"/>
    <w:rsid w:val="00D130B3"/>
    <w:rsid w:val="00D4485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D36F"/>
  <w15:chartTrackingRefBased/>
  <w15:docId w15:val="{FBDC9FF6-1337-4316-A174-BE7BA06B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4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4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4E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4E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4E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4E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4E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4E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4E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4E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4E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4E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4E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4E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4E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4E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4E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4E92"/>
    <w:rPr>
      <w:rFonts w:eastAsiaTheme="majorEastAsia" w:cstheme="majorBidi"/>
      <w:color w:val="272727" w:themeColor="text1" w:themeTint="D8"/>
    </w:rPr>
  </w:style>
  <w:style w:type="paragraph" w:styleId="Ttulo">
    <w:name w:val="Title"/>
    <w:basedOn w:val="Normal"/>
    <w:next w:val="Normal"/>
    <w:link w:val="TtuloCar"/>
    <w:uiPriority w:val="10"/>
    <w:qFormat/>
    <w:rsid w:val="00B04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4E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4E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4E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4E92"/>
    <w:pPr>
      <w:spacing w:before="160"/>
      <w:jc w:val="center"/>
    </w:pPr>
    <w:rPr>
      <w:i/>
      <w:iCs/>
      <w:color w:val="404040" w:themeColor="text1" w:themeTint="BF"/>
    </w:rPr>
  </w:style>
  <w:style w:type="character" w:customStyle="1" w:styleId="CitaCar">
    <w:name w:val="Cita Car"/>
    <w:basedOn w:val="Fuentedeprrafopredeter"/>
    <w:link w:val="Cita"/>
    <w:uiPriority w:val="29"/>
    <w:rsid w:val="00B04E92"/>
    <w:rPr>
      <w:i/>
      <w:iCs/>
      <w:color w:val="404040" w:themeColor="text1" w:themeTint="BF"/>
    </w:rPr>
  </w:style>
  <w:style w:type="paragraph" w:styleId="Prrafodelista">
    <w:name w:val="List Paragraph"/>
    <w:basedOn w:val="Normal"/>
    <w:uiPriority w:val="34"/>
    <w:qFormat/>
    <w:rsid w:val="00B04E92"/>
    <w:pPr>
      <w:ind w:left="720"/>
      <w:contextualSpacing/>
    </w:pPr>
  </w:style>
  <w:style w:type="character" w:styleId="nfasisintenso">
    <w:name w:val="Intense Emphasis"/>
    <w:basedOn w:val="Fuentedeprrafopredeter"/>
    <w:uiPriority w:val="21"/>
    <w:qFormat/>
    <w:rsid w:val="00B04E92"/>
    <w:rPr>
      <w:i/>
      <w:iCs/>
      <w:color w:val="0F4761" w:themeColor="accent1" w:themeShade="BF"/>
    </w:rPr>
  </w:style>
  <w:style w:type="paragraph" w:styleId="Citadestacada">
    <w:name w:val="Intense Quote"/>
    <w:basedOn w:val="Normal"/>
    <w:next w:val="Normal"/>
    <w:link w:val="CitadestacadaCar"/>
    <w:uiPriority w:val="30"/>
    <w:qFormat/>
    <w:rsid w:val="00B04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4E92"/>
    <w:rPr>
      <w:i/>
      <w:iCs/>
      <w:color w:val="0F4761" w:themeColor="accent1" w:themeShade="BF"/>
    </w:rPr>
  </w:style>
  <w:style w:type="character" w:styleId="Referenciaintensa">
    <w:name w:val="Intense Reference"/>
    <w:basedOn w:val="Fuentedeprrafopredeter"/>
    <w:uiPriority w:val="32"/>
    <w:qFormat/>
    <w:rsid w:val="00B04E92"/>
    <w:rPr>
      <w:b/>
      <w:bCs/>
      <w:smallCaps/>
      <w:color w:val="0F4761" w:themeColor="accent1" w:themeShade="BF"/>
      <w:spacing w:val="5"/>
    </w:rPr>
  </w:style>
  <w:style w:type="paragraph" w:styleId="Encabezado">
    <w:name w:val="header"/>
    <w:basedOn w:val="Normal"/>
    <w:link w:val="EncabezadoCar"/>
    <w:uiPriority w:val="99"/>
    <w:unhideWhenUsed/>
    <w:rsid w:val="00D448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85B"/>
  </w:style>
  <w:style w:type="paragraph" w:styleId="Piedepgina">
    <w:name w:val="footer"/>
    <w:basedOn w:val="Normal"/>
    <w:link w:val="PiedepginaCar"/>
    <w:uiPriority w:val="99"/>
    <w:unhideWhenUsed/>
    <w:rsid w:val="00D448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494142">
      <w:bodyDiv w:val="1"/>
      <w:marLeft w:val="0"/>
      <w:marRight w:val="0"/>
      <w:marTop w:val="0"/>
      <w:marBottom w:val="0"/>
      <w:divBdr>
        <w:top w:val="none" w:sz="0" w:space="0" w:color="auto"/>
        <w:left w:val="none" w:sz="0" w:space="0" w:color="auto"/>
        <w:bottom w:val="none" w:sz="0" w:space="0" w:color="auto"/>
        <w:right w:val="none" w:sz="0" w:space="0" w:color="auto"/>
      </w:divBdr>
    </w:div>
    <w:div w:id="1312371579">
      <w:bodyDiv w:val="1"/>
      <w:marLeft w:val="0"/>
      <w:marRight w:val="0"/>
      <w:marTop w:val="0"/>
      <w:marBottom w:val="0"/>
      <w:divBdr>
        <w:top w:val="none" w:sz="0" w:space="0" w:color="auto"/>
        <w:left w:val="none" w:sz="0" w:space="0" w:color="auto"/>
        <w:bottom w:val="none" w:sz="0" w:space="0" w:color="auto"/>
        <w:right w:val="none" w:sz="0" w:space="0" w:color="auto"/>
      </w:divBdr>
    </w:div>
    <w:div w:id="16438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2384</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2025-01-22T20:24:00Z</dcterms:created>
  <dcterms:modified xsi:type="dcterms:W3CDTF">2025-01-22T20:24:00Z</dcterms:modified>
</cp:coreProperties>
</file>