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711F" w14:textId="4FD7286D" w:rsidR="008C2AD0" w:rsidRPr="0033605D" w:rsidRDefault="008C2AD0" w:rsidP="00DA5555">
      <w:pPr>
        <w:tabs>
          <w:tab w:val="left" w:pos="709"/>
        </w:tabs>
        <w:spacing w:before="100" w:after="100" w:line="276" w:lineRule="auto"/>
        <w:jc w:val="center"/>
        <w:rPr>
          <w:rFonts w:ascii="Verdana" w:hAnsi="Verdana"/>
          <w:b/>
          <w:sz w:val="20"/>
          <w:szCs w:val="20"/>
        </w:rPr>
      </w:pPr>
      <w:r w:rsidRPr="0033605D">
        <w:rPr>
          <w:rFonts w:ascii="Verdana" w:hAnsi="Verdana"/>
          <w:b/>
          <w:sz w:val="20"/>
          <w:szCs w:val="20"/>
        </w:rPr>
        <w:t>VOTO CONCURRENTE</w:t>
      </w:r>
      <w:r w:rsidR="00130A7C" w:rsidRPr="0033605D">
        <w:rPr>
          <w:rFonts w:ascii="Verdana" w:hAnsi="Verdana"/>
          <w:b/>
          <w:sz w:val="20"/>
          <w:szCs w:val="20"/>
        </w:rPr>
        <w:t xml:space="preserve"> Y PARCIALMENTE DISIDENTE</w:t>
      </w:r>
      <w:r w:rsidRPr="0033605D">
        <w:rPr>
          <w:rFonts w:ascii="Verdana" w:hAnsi="Verdana"/>
          <w:b/>
          <w:sz w:val="20"/>
          <w:szCs w:val="20"/>
        </w:rPr>
        <w:t xml:space="preserve"> DEL</w:t>
      </w:r>
    </w:p>
    <w:p w14:paraId="3BF0A4FA" w14:textId="0C36B112" w:rsidR="008C2AD0" w:rsidRPr="0033605D" w:rsidRDefault="008C2AD0" w:rsidP="00DA5555">
      <w:pPr>
        <w:tabs>
          <w:tab w:val="left" w:pos="709"/>
        </w:tabs>
        <w:spacing w:before="100" w:after="100" w:line="276" w:lineRule="auto"/>
        <w:jc w:val="center"/>
        <w:rPr>
          <w:rFonts w:ascii="Verdana" w:hAnsi="Verdana"/>
          <w:b/>
          <w:sz w:val="20"/>
          <w:szCs w:val="20"/>
        </w:rPr>
      </w:pPr>
      <w:r w:rsidRPr="0033605D">
        <w:rPr>
          <w:rFonts w:ascii="Verdana" w:hAnsi="Verdana"/>
          <w:b/>
          <w:sz w:val="20"/>
          <w:szCs w:val="20"/>
        </w:rPr>
        <w:t>JUEZ HUMBERTO ANTONIO SIERRA PORTO</w:t>
      </w:r>
    </w:p>
    <w:p w14:paraId="19F5E842" w14:textId="77777777" w:rsidR="008C2AD0" w:rsidRPr="0033605D" w:rsidRDefault="008C2AD0" w:rsidP="00DA5555">
      <w:pPr>
        <w:tabs>
          <w:tab w:val="left" w:pos="709"/>
        </w:tabs>
        <w:spacing w:before="100" w:after="100" w:line="276" w:lineRule="auto"/>
        <w:jc w:val="center"/>
        <w:rPr>
          <w:rFonts w:ascii="Verdana" w:hAnsi="Verdana"/>
          <w:b/>
          <w:sz w:val="20"/>
          <w:szCs w:val="20"/>
        </w:rPr>
      </w:pPr>
    </w:p>
    <w:p w14:paraId="09DBF2DD" w14:textId="2933C05B" w:rsidR="008C2AD0" w:rsidRPr="0033605D" w:rsidRDefault="008C2AD0" w:rsidP="00DA5555">
      <w:pPr>
        <w:spacing w:before="100" w:after="100" w:line="276" w:lineRule="auto"/>
        <w:jc w:val="center"/>
        <w:rPr>
          <w:rFonts w:ascii="Verdana" w:eastAsia="MS Mincho" w:hAnsi="Verdana" w:cs="Times New Roman"/>
          <w:b/>
          <w:sz w:val="20"/>
          <w:szCs w:val="20"/>
          <w:lang w:eastAsia="es-CR"/>
        </w:rPr>
      </w:pPr>
      <w:r w:rsidRPr="0033605D">
        <w:rPr>
          <w:rFonts w:ascii="Verdana" w:eastAsia="MS Mincho" w:hAnsi="Verdana" w:cs="Times New Roman"/>
          <w:b/>
          <w:sz w:val="20"/>
          <w:szCs w:val="20"/>
          <w:lang w:eastAsia="es-CR"/>
        </w:rPr>
        <w:t>CORTE INTERAMERICANA DE DERECHOS HUMANOS</w:t>
      </w:r>
    </w:p>
    <w:p w14:paraId="5600B551" w14:textId="77777777" w:rsidR="008C2AD0" w:rsidRPr="0033605D" w:rsidRDefault="008C2AD0" w:rsidP="00DA5555">
      <w:pPr>
        <w:tabs>
          <w:tab w:val="left" w:pos="709"/>
        </w:tabs>
        <w:spacing w:before="100" w:after="100" w:line="276" w:lineRule="auto"/>
        <w:jc w:val="center"/>
        <w:rPr>
          <w:rFonts w:ascii="Verdana" w:hAnsi="Verdana"/>
          <w:b/>
          <w:sz w:val="20"/>
          <w:szCs w:val="20"/>
        </w:rPr>
      </w:pPr>
    </w:p>
    <w:p w14:paraId="305CCEC6" w14:textId="65DA2BF0" w:rsidR="002B0B6B" w:rsidRPr="0033605D" w:rsidRDefault="008C2AD0" w:rsidP="00DA5555">
      <w:pPr>
        <w:spacing w:before="100" w:after="100" w:line="276" w:lineRule="auto"/>
        <w:jc w:val="center"/>
        <w:rPr>
          <w:rFonts w:ascii="Verdana" w:hAnsi="Verdana"/>
          <w:sz w:val="20"/>
          <w:szCs w:val="20"/>
        </w:rPr>
      </w:pPr>
      <w:r w:rsidRPr="0033605D">
        <w:rPr>
          <w:rFonts w:ascii="Verdana" w:hAnsi="Verdana"/>
          <w:b/>
          <w:bCs/>
          <w:sz w:val="20"/>
          <w:szCs w:val="20"/>
        </w:rPr>
        <w:t>CASO BEATRIZ</w:t>
      </w:r>
      <w:r w:rsidRPr="0033605D">
        <w:rPr>
          <w:rFonts w:ascii="Verdana" w:hAnsi="Verdana"/>
          <w:sz w:val="20"/>
          <w:szCs w:val="20"/>
        </w:rPr>
        <w:t xml:space="preserve"> </w:t>
      </w:r>
      <w:r w:rsidR="002B0B6B" w:rsidRPr="0033605D">
        <w:rPr>
          <w:rFonts w:ascii="Verdana" w:hAnsi="Verdana"/>
          <w:b/>
          <w:bCs/>
          <w:sz w:val="20"/>
          <w:szCs w:val="20"/>
        </w:rPr>
        <w:t>Y OTROS VS. EL SALVADOR</w:t>
      </w:r>
    </w:p>
    <w:p w14:paraId="73753DCB" w14:textId="77777777" w:rsidR="002B0B6B" w:rsidRPr="0033605D" w:rsidRDefault="002B0B6B" w:rsidP="00DA5555">
      <w:pPr>
        <w:spacing w:before="100" w:after="100" w:line="276" w:lineRule="auto"/>
        <w:jc w:val="center"/>
        <w:rPr>
          <w:rFonts w:ascii="Verdana" w:hAnsi="Verdana"/>
          <w:b/>
          <w:bCs/>
          <w:sz w:val="20"/>
          <w:szCs w:val="20"/>
        </w:rPr>
      </w:pPr>
    </w:p>
    <w:p w14:paraId="73D099F7" w14:textId="3656A841" w:rsidR="002B0B6B" w:rsidRPr="0033605D" w:rsidRDefault="002B0B6B" w:rsidP="00DA5555">
      <w:pPr>
        <w:spacing w:before="100" w:after="100" w:line="276" w:lineRule="auto"/>
        <w:jc w:val="center"/>
        <w:rPr>
          <w:rFonts w:ascii="Verdana" w:hAnsi="Verdana"/>
          <w:b/>
          <w:bCs/>
          <w:sz w:val="20"/>
          <w:szCs w:val="20"/>
        </w:rPr>
      </w:pPr>
      <w:bookmarkStart w:id="0" w:name="_Toc424833992"/>
      <w:bookmarkStart w:id="1" w:name="_Toc424834593"/>
      <w:bookmarkStart w:id="2" w:name="_Toc424834676"/>
      <w:bookmarkStart w:id="3" w:name="_Toc424834743"/>
      <w:r w:rsidRPr="0033605D">
        <w:rPr>
          <w:rFonts w:ascii="Verdana" w:hAnsi="Verdana"/>
          <w:b/>
          <w:bCs/>
          <w:sz w:val="20"/>
          <w:szCs w:val="20"/>
        </w:rPr>
        <w:t xml:space="preserve">SENTENCIA DE </w:t>
      </w:r>
      <w:r w:rsidR="00130A7C" w:rsidRPr="0033605D">
        <w:rPr>
          <w:rFonts w:ascii="Verdana" w:hAnsi="Verdana"/>
          <w:b/>
          <w:bCs/>
          <w:sz w:val="20"/>
          <w:szCs w:val="20"/>
        </w:rPr>
        <w:t>22</w:t>
      </w:r>
      <w:r w:rsidRPr="0033605D">
        <w:rPr>
          <w:rFonts w:ascii="Verdana" w:hAnsi="Verdana"/>
          <w:b/>
          <w:bCs/>
          <w:sz w:val="20"/>
          <w:szCs w:val="20"/>
        </w:rPr>
        <w:t xml:space="preserve"> DE </w:t>
      </w:r>
      <w:r w:rsidR="00130A7C" w:rsidRPr="0033605D">
        <w:rPr>
          <w:rFonts w:ascii="Verdana" w:hAnsi="Verdana"/>
          <w:b/>
          <w:bCs/>
          <w:sz w:val="20"/>
          <w:szCs w:val="20"/>
        </w:rPr>
        <w:t>NOVIEMBRE</w:t>
      </w:r>
      <w:r w:rsidRPr="0033605D">
        <w:rPr>
          <w:rFonts w:ascii="Verdana" w:hAnsi="Verdana"/>
          <w:b/>
          <w:bCs/>
          <w:sz w:val="20"/>
          <w:szCs w:val="20"/>
        </w:rPr>
        <w:t xml:space="preserve"> DE </w:t>
      </w:r>
      <w:bookmarkEnd w:id="0"/>
      <w:bookmarkEnd w:id="1"/>
      <w:bookmarkEnd w:id="2"/>
      <w:bookmarkEnd w:id="3"/>
      <w:r w:rsidRPr="0033605D">
        <w:rPr>
          <w:rFonts w:ascii="Verdana" w:hAnsi="Verdana"/>
          <w:b/>
          <w:bCs/>
          <w:sz w:val="20"/>
          <w:szCs w:val="20"/>
        </w:rPr>
        <w:t>2024</w:t>
      </w:r>
    </w:p>
    <w:p w14:paraId="7F515D27" w14:textId="77777777" w:rsidR="002B0B6B" w:rsidRPr="0033605D" w:rsidRDefault="002B0B6B" w:rsidP="00DA5555">
      <w:pPr>
        <w:spacing w:before="100" w:after="100" w:line="276" w:lineRule="auto"/>
        <w:jc w:val="center"/>
        <w:rPr>
          <w:rFonts w:ascii="Verdana" w:hAnsi="Verdana"/>
          <w:b/>
          <w:bCs/>
          <w:sz w:val="20"/>
          <w:szCs w:val="20"/>
        </w:rPr>
      </w:pPr>
      <w:bookmarkStart w:id="4" w:name="_Toc424833993"/>
      <w:bookmarkStart w:id="5" w:name="_Toc424834594"/>
      <w:bookmarkStart w:id="6" w:name="_Toc424834677"/>
      <w:bookmarkStart w:id="7" w:name="_Toc424834744"/>
      <w:r w:rsidRPr="0033605D">
        <w:rPr>
          <w:rFonts w:ascii="Verdana" w:hAnsi="Verdana"/>
          <w:b/>
          <w:bCs/>
          <w:sz w:val="20"/>
          <w:szCs w:val="20"/>
        </w:rPr>
        <w:t>(</w:t>
      </w:r>
      <w:r w:rsidRPr="0033605D">
        <w:rPr>
          <w:rFonts w:ascii="Verdana" w:hAnsi="Verdana"/>
          <w:b/>
          <w:bCs/>
          <w:i/>
          <w:sz w:val="20"/>
          <w:szCs w:val="20"/>
        </w:rPr>
        <w:t>Fondo, Reparaciones y Costas</w:t>
      </w:r>
      <w:r w:rsidRPr="0033605D">
        <w:rPr>
          <w:rFonts w:ascii="Verdana" w:hAnsi="Verdana"/>
          <w:b/>
          <w:bCs/>
          <w:sz w:val="20"/>
          <w:szCs w:val="20"/>
        </w:rPr>
        <w:t>)</w:t>
      </w:r>
      <w:bookmarkEnd w:id="4"/>
      <w:bookmarkEnd w:id="5"/>
      <w:bookmarkEnd w:id="6"/>
      <w:bookmarkEnd w:id="7"/>
    </w:p>
    <w:p w14:paraId="75B3F52D" w14:textId="77777777" w:rsidR="00652EA6" w:rsidRPr="0033605D" w:rsidRDefault="00652EA6" w:rsidP="00DA5555">
      <w:pPr>
        <w:spacing w:before="100" w:after="100" w:line="276" w:lineRule="auto"/>
        <w:jc w:val="both"/>
        <w:rPr>
          <w:rFonts w:ascii="Verdana" w:eastAsia="Times New Roman" w:hAnsi="Verdana" w:cs="Times New Roman"/>
          <w:b/>
          <w:bCs/>
          <w:i/>
          <w:iCs/>
          <w:sz w:val="20"/>
          <w:szCs w:val="20"/>
          <w:lang w:eastAsia="es-ES_tradnl"/>
        </w:rPr>
      </w:pPr>
    </w:p>
    <w:p w14:paraId="6C271B1D" w14:textId="61625299" w:rsidR="00494246" w:rsidRPr="0033605D" w:rsidRDefault="00652EA6"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cs="Times New Roman"/>
          <w:sz w:val="20"/>
          <w:szCs w:val="20"/>
        </w:rPr>
        <w:t>Con</w:t>
      </w:r>
      <w:r w:rsidRPr="0033605D">
        <w:rPr>
          <w:rFonts w:ascii="Verdana" w:hAnsi="Verdana"/>
          <w:sz w:val="20"/>
          <w:szCs w:val="20"/>
        </w:rPr>
        <w:t xml:space="preserve"> el acostumbrado respeto por las decisiones de la Corte Interamericana de Derechos Humanos (en adelante “la Corte” o “el Tribunal”), el presente voto tiene por objeto presentar mi divergencia con las razones utilizadas para establecer la responsabilidad internacional del Estado de </w:t>
      </w:r>
      <w:r w:rsidR="00B41900" w:rsidRPr="0033605D">
        <w:rPr>
          <w:rFonts w:ascii="Verdana" w:hAnsi="Verdana"/>
          <w:sz w:val="20"/>
          <w:szCs w:val="20"/>
        </w:rPr>
        <w:t>El Salvador</w:t>
      </w:r>
      <w:r w:rsidRPr="0033605D">
        <w:rPr>
          <w:rFonts w:ascii="Verdana" w:hAnsi="Verdana"/>
          <w:sz w:val="20"/>
          <w:szCs w:val="20"/>
        </w:rPr>
        <w:t xml:space="preserve"> (en adelante “el Estado” o “</w:t>
      </w:r>
      <w:r w:rsidR="003F5B4A" w:rsidRPr="0033605D">
        <w:rPr>
          <w:rFonts w:ascii="Verdana" w:hAnsi="Verdana"/>
          <w:sz w:val="20"/>
          <w:szCs w:val="20"/>
        </w:rPr>
        <w:t>El Salvador</w:t>
      </w:r>
      <w:r w:rsidRPr="0033605D">
        <w:rPr>
          <w:rFonts w:ascii="Verdana" w:hAnsi="Verdana"/>
          <w:sz w:val="20"/>
          <w:szCs w:val="20"/>
        </w:rPr>
        <w:t>”)</w:t>
      </w:r>
      <w:r w:rsidR="00430DF1" w:rsidRPr="0033605D">
        <w:rPr>
          <w:rFonts w:ascii="Verdana" w:hAnsi="Verdana"/>
          <w:sz w:val="20"/>
          <w:szCs w:val="20"/>
        </w:rPr>
        <w:t xml:space="preserve"> por la violación de los derechos a la integridad personal, la salud</w:t>
      </w:r>
      <w:r w:rsidR="00B85F3A" w:rsidRPr="0033605D">
        <w:rPr>
          <w:rFonts w:ascii="Verdana" w:hAnsi="Verdana"/>
          <w:sz w:val="20"/>
          <w:szCs w:val="20"/>
        </w:rPr>
        <w:t>,</w:t>
      </w:r>
      <w:r w:rsidR="00430DF1" w:rsidRPr="0033605D">
        <w:rPr>
          <w:rFonts w:ascii="Verdana" w:hAnsi="Verdana"/>
          <w:sz w:val="20"/>
          <w:szCs w:val="20"/>
        </w:rPr>
        <w:t xml:space="preserve"> la vida privada</w:t>
      </w:r>
      <w:r w:rsidR="00B85F3A" w:rsidRPr="0033605D">
        <w:rPr>
          <w:rFonts w:ascii="Verdana" w:hAnsi="Verdana"/>
          <w:sz w:val="20"/>
          <w:szCs w:val="20"/>
        </w:rPr>
        <w:t>, las garantías judiciales y la protección judicial</w:t>
      </w:r>
      <w:r w:rsidR="00430DF1" w:rsidRPr="0033605D">
        <w:rPr>
          <w:rFonts w:ascii="Verdana" w:hAnsi="Verdana"/>
          <w:sz w:val="20"/>
          <w:szCs w:val="20"/>
        </w:rPr>
        <w:t xml:space="preserve"> en perjuicio de Beatriz</w:t>
      </w:r>
      <w:r w:rsidR="00F12825" w:rsidRPr="0033605D">
        <w:rPr>
          <w:rFonts w:ascii="Verdana" w:hAnsi="Verdana"/>
          <w:sz w:val="20"/>
          <w:szCs w:val="20"/>
        </w:rPr>
        <w:t>, así como con el alcance de la garantía de no repetición de crear protocolos de atención médica</w:t>
      </w:r>
      <w:r w:rsidRPr="0033605D">
        <w:rPr>
          <w:rFonts w:ascii="Verdana" w:hAnsi="Verdana"/>
          <w:sz w:val="20"/>
          <w:szCs w:val="20"/>
        </w:rPr>
        <w:t xml:space="preserve">. </w:t>
      </w:r>
      <w:r w:rsidR="00494246" w:rsidRPr="0033605D">
        <w:rPr>
          <w:rFonts w:ascii="Verdana" w:hAnsi="Verdana"/>
          <w:sz w:val="20"/>
          <w:szCs w:val="20"/>
        </w:rPr>
        <w:t>En efecto, c</w:t>
      </w:r>
      <w:r w:rsidR="00CE2BF2" w:rsidRPr="0033605D">
        <w:rPr>
          <w:rFonts w:ascii="Verdana" w:hAnsi="Verdana"/>
          <w:sz w:val="20"/>
          <w:szCs w:val="20"/>
        </w:rPr>
        <w:t xml:space="preserve">reo que </w:t>
      </w:r>
      <w:r w:rsidR="006B181A" w:rsidRPr="0033605D">
        <w:rPr>
          <w:rFonts w:ascii="Verdana" w:hAnsi="Verdana"/>
          <w:sz w:val="20"/>
          <w:szCs w:val="20"/>
        </w:rPr>
        <w:t>l</w:t>
      </w:r>
      <w:r w:rsidR="00FA13B6" w:rsidRPr="0033605D">
        <w:rPr>
          <w:rFonts w:ascii="Verdana" w:hAnsi="Verdana"/>
          <w:sz w:val="20"/>
          <w:szCs w:val="20"/>
        </w:rPr>
        <w:t xml:space="preserve">a Corte omitió </w:t>
      </w:r>
      <w:r w:rsidR="008A2A7B" w:rsidRPr="0033605D">
        <w:rPr>
          <w:rFonts w:ascii="Verdana" w:hAnsi="Verdana"/>
          <w:sz w:val="20"/>
          <w:szCs w:val="20"/>
        </w:rPr>
        <w:t>analizar</w:t>
      </w:r>
      <w:r w:rsidR="00674FBB" w:rsidRPr="0033605D">
        <w:rPr>
          <w:rFonts w:ascii="Verdana" w:hAnsi="Verdana"/>
          <w:sz w:val="20"/>
          <w:szCs w:val="20"/>
        </w:rPr>
        <w:t xml:space="preserve"> las</w:t>
      </w:r>
      <w:r w:rsidR="008A2A7B" w:rsidRPr="0033605D">
        <w:rPr>
          <w:rFonts w:ascii="Verdana" w:hAnsi="Verdana"/>
          <w:sz w:val="20"/>
          <w:szCs w:val="20"/>
        </w:rPr>
        <w:t xml:space="preserve"> violaciones </w:t>
      </w:r>
      <w:r w:rsidR="00674FBB" w:rsidRPr="0033605D">
        <w:rPr>
          <w:rFonts w:ascii="Verdana" w:hAnsi="Verdana"/>
          <w:sz w:val="20"/>
          <w:szCs w:val="20"/>
        </w:rPr>
        <w:t>de derechos humanos más relevantes del caso</w:t>
      </w:r>
      <w:r w:rsidR="00F12825" w:rsidRPr="0033605D">
        <w:rPr>
          <w:rFonts w:ascii="Verdana" w:hAnsi="Verdana"/>
          <w:sz w:val="20"/>
          <w:szCs w:val="20"/>
        </w:rPr>
        <w:t xml:space="preserve"> y ordenar medidas de reparación efectivas para evitar su repetición</w:t>
      </w:r>
      <w:r w:rsidR="00674FBB" w:rsidRPr="0033605D">
        <w:rPr>
          <w:rFonts w:ascii="Verdana" w:hAnsi="Verdana"/>
          <w:sz w:val="20"/>
          <w:szCs w:val="20"/>
        </w:rPr>
        <w:t xml:space="preserve">, </w:t>
      </w:r>
      <w:r w:rsidR="00F12825" w:rsidRPr="0033605D">
        <w:rPr>
          <w:rFonts w:ascii="Verdana" w:hAnsi="Verdana"/>
          <w:sz w:val="20"/>
          <w:szCs w:val="20"/>
        </w:rPr>
        <w:t>con lo cual</w:t>
      </w:r>
      <w:r w:rsidR="00674FBB" w:rsidRPr="0033605D">
        <w:rPr>
          <w:rFonts w:ascii="Verdana" w:hAnsi="Verdana"/>
          <w:sz w:val="20"/>
          <w:szCs w:val="20"/>
        </w:rPr>
        <w:t xml:space="preserve"> </w:t>
      </w:r>
      <w:r w:rsidR="00F12825" w:rsidRPr="0033605D">
        <w:rPr>
          <w:rFonts w:ascii="Verdana" w:hAnsi="Verdana"/>
          <w:sz w:val="20"/>
          <w:szCs w:val="20"/>
        </w:rPr>
        <w:t>no respondió</w:t>
      </w:r>
      <w:r w:rsidR="00674FBB" w:rsidRPr="0033605D">
        <w:rPr>
          <w:rFonts w:ascii="Verdana" w:hAnsi="Verdana"/>
          <w:sz w:val="20"/>
          <w:szCs w:val="20"/>
        </w:rPr>
        <w:t xml:space="preserve"> adecuadamente a la</w:t>
      </w:r>
      <w:r w:rsidR="0027610A" w:rsidRPr="0033605D">
        <w:rPr>
          <w:rFonts w:ascii="Verdana" w:hAnsi="Verdana"/>
          <w:sz w:val="20"/>
          <w:szCs w:val="20"/>
        </w:rPr>
        <w:t xml:space="preserve"> exigencia de justicia de las víctimas</w:t>
      </w:r>
      <w:r w:rsidR="00674FBB" w:rsidRPr="0033605D">
        <w:rPr>
          <w:rFonts w:ascii="Verdana" w:hAnsi="Verdana"/>
          <w:sz w:val="20"/>
          <w:szCs w:val="20"/>
        </w:rPr>
        <w:t xml:space="preserve">. </w:t>
      </w:r>
    </w:p>
    <w:p w14:paraId="1F457D82" w14:textId="10125A08" w:rsidR="00494246" w:rsidRPr="0033605D" w:rsidRDefault="00494246"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La sentencia centra la atención en tres </w:t>
      </w:r>
      <w:r w:rsidR="00F12825" w:rsidRPr="0033605D">
        <w:rPr>
          <w:rFonts w:ascii="Verdana" w:hAnsi="Verdana"/>
          <w:sz w:val="20"/>
          <w:szCs w:val="20"/>
          <w:lang w:val="es-ES"/>
        </w:rPr>
        <w:t xml:space="preserve">decisiones </w:t>
      </w:r>
      <w:r w:rsidRPr="0033605D">
        <w:rPr>
          <w:rFonts w:ascii="Verdana" w:hAnsi="Verdana"/>
          <w:sz w:val="20"/>
          <w:szCs w:val="20"/>
          <w:lang w:val="es-ES"/>
        </w:rPr>
        <w:t xml:space="preserve">del Comité Médico del </w:t>
      </w:r>
      <w:r w:rsidR="00585635" w:rsidRPr="0033605D">
        <w:rPr>
          <w:rFonts w:ascii="Verdana" w:hAnsi="Verdana"/>
          <w:sz w:val="20"/>
          <w:szCs w:val="20"/>
          <w:lang w:val="es-ES"/>
        </w:rPr>
        <w:t xml:space="preserve">Hospital Nacional de Maternidad </w:t>
      </w:r>
      <w:r w:rsidRPr="0033605D">
        <w:rPr>
          <w:rFonts w:ascii="Verdana" w:hAnsi="Verdana"/>
          <w:sz w:val="20"/>
          <w:szCs w:val="20"/>
          <w:lang w:val="es-ES"/>
        </w:rPr>
        <w:t>en las que</w:t>
      </w:r>
      <w:r w:rsidR="0085367A" w:rsidRPr="0033605D">
        <w:rPr>
          <w:rFonts w:ascii="Verdana" w:hAnsi="Verdana"/>
          <w:sz w:val="20"/>
          <w:szCs w:val="20"/>
          <w:lang w:val="es-ES"/>
        </w:rPr>
        <w:t>, según el Tribunal,</w:t>
      </w:r>
      <w:r w:rsidRPr="0033605D">
        <w:rPr>
          <w:rFonts w:ascii="Verdana" w:hAnsi="Verdana"/>
          <w:sz w:val="20"/>
          <w:szCs w:val="20"/>
          <w:lang w:val="es-ES"/>
        </w:rPr>
        <w:t xml:space="preserve"> se concluyó que la interrupción del embarazo de Beatriz, dada su condición médica y la del feto (imposibilidad de vida extrauterina), era necesaria para evitar riesgos a su integridad personal. Además, </w:t>
      </w:r>
      <w:r w:rsidR="0085367A" w:rsidRPr="0033605D">
        <w:rPr>
          <w:rFonts w:ascii="Verdana" w:hAnsi="Verdana"/>
          <w:sz w:val="20"/>
          <w:szCs w:val="20"/>
          <w:lang w:val="es-ES"/>
        </w:rPr>
        <w:t xml:space="preserve">en la </w:t>
      </w:r>
      <w:r w:rsidR="00F12825" w:rsidRPr="0033605D">
        <w:rPr>
          <w:rFonts w:ascii="Verdana" w:hAnsi="Verdana"/>
          <w:sz w:val="20"/>
          <w:szCs w:val="20"/>
          <w:lang w:val="es-ES"/>
        </w:rPr>
        <w:t>sentencia</w:t>
      </w:r>
      <w:r w:rsidR="0085367A" w:rsidRPr="0033605D">
        <w:rPr>
          <w:rFonts w:ascii="Verdana" w:hAnsi="Verdana"/>
          <w:sz w:val="20"/>
          <w:szCs w:val="20"/>
          <w:lang w:val="es-ES"/>
        </w:rPr>
        <w:t xml:space="preserve"> </w:t>
      </w:r>
      <w:r w:rsidRPr="0033605D">
        <w:rPr>
          <w:rFonts w:ascii="Verdana" w:hAnsi="Verdana"/>
          <w:sz w:val="20"/>
          <w:szCs w:val="20"/>
          <w:lang w:val="es-ES"/>
        </w:rPr>
        <w:t xml:space="preserve">se hace alguna mención de la decisión de la </w:t>
      </w:r>
      <w:r w:rsidR="00B9099B" w:rsidRPr="0033605D">
        <w:rPr>
          <w:rFonts w:ascii="Verdana" w:hAnsi="Verdana"/>
          <w:sz w:val="20"/>
          <w:szCs w:val="20"/>
        </w:rPr>
        <w:t xml:space="preserve">Sala de lo Constitucional </w:t>
      </w:r>
      <w:r w:rsidRPr="0033605D">
        <w:rPr>
          <w:rFonts w:ascii="Verdana" w:hAnsi="Verdana"/>
          <w:sz w:val="20"/>
          <w:szCs w:val="20"/>
          <w:lang w:val="es-ES"/>
        </w:rPr>
        <w:t xml:space="preserve">en la que, </w:t>
      </w:r>
      <w:r w:rsidR="00E94F52" w:rsidRPr="0033605D">
        <w:rPr>
          <w:rFonts w:ascii="Verdana" w:hAnsi="Verdana"/>
          <w:sz w:val="20"/>
          <w:szCs w:val="20"/>
          <w:lang w:val="es-ES"/>
        </w:rPr>
        <w:t>el máximo órgano de la justicia interna indicó que,</w:t>
      </w:r>
      <w:r w:rsidRPr="0033605D">
        <w:rPr>
          <w:rFonts w:ascii="Verdana" w:hAnsi="Verdana"/>
          <w:sz w:val="20"/>
          <w:szCs w:val="20"/>
          <w:lang w:val="es-ES"/>
        </w:rPr>
        <w:t xml:space="preserve"> si decidían proceder con el tratamiento, los médicos debían asumir las consecuencias jurídicas que se derivan de la criminalización del aborto. Frente a estos hechos la Corte concluy</w:t>
      </w:r>
      <w:r w:rsidR="00E94F52" w:rsidRPr="0033605D">
        <w:rPr>
          <w:rFonts w:ascii="Verdana" w:hAnsi="Verdana"/>
          <w:sz w:val="20"/>
          <w:szCs w:val="20"/>
          <w:lang w:val="es-ES"/>
        </w:rPr>
        <w:t>ó</w:t>
      </w:r>
      <w:r w:rsidRPr="0033605D">
        <w:rPr>
          <w:rFonts w:ascii="Verdana" w:hAnsi="Verdana"/>
          <w:sz w:val="20"/>
          <w:szCs w:val="20"/>
          <w:lang w:val="es-ES"/>
        </w:rPr>
        <w:t xml:space="preserve"> que El Salvador debía contar con protocolos que permitieran a los médicos proceder con el tratamiento médico correspondiente en casos de embarazo de alto riesgo y</w:t>
      </w:r>
      <w:r w:rsidR="00D9561C" w:rsidRPr="0033605D">
        <w:rPr>
          <w:rFonts w:ascii="Verdana" w:hAnsi="Verdana"/>
          <w:sz w:val="20"/>
          <w:szCs w:val="20"/>
          <w:lang w:val="es-ES"/>
        </w:rPr>
        <w:t>,</w:t>
      </w:r>
      <w:r w:rsidRPr="0033605D">
        <w:rPr>
          <w:rFonts w:ascii="Verdana" w:hAnsi="Verdana"/>
          <w:sz w:val="20"/>
          <w:szCs w:val="20"/>
          <w:lang w:val="es-ES"/>
        </w:rPr>
        <w:t xml:space="preserve"> ante su ausencia</w:t>
      </w:r>
      <w:r w:rsidR="00D9561C" w:rsidRPr="0033605D">
        <w:rPr>
          <w:rFonts w:ascii="Verdana" w:hAnsi="Verdana"/>
          <w:sz w:val="20"/>
          <w:szCs w:val="20"/>
          <w:lang w:val="es-ES"/>
        </w:rPr>
        <w:t>,</w:t>
      </w:r>
      <w:r w:rsidRPr="0033605D">
        <w:rPr>
          <w:rFonts w:ascii="Verdana" w:hAnsi="Verdana"/>
          <w:sz w:val="20"/>
          <w:szCs w:val="20"/>
          <w:lang w:val="es-ES"/>
        </w:rPr>
        <w:t xml:space="preserve"> </w:t>
      </w:r>
      <w:r w:rsidR="00D9561C" w:rsidRPr="0033605D">
        <w:rPr>
          <w:rFonts w:ascii="Verdana" w:hAnsi="Verdana"/>
          <w:sz w:val="20"/>
          <w:szCs w:val="20"/>
          <w:lang w:val="es-ES"/>
        </w:rPr>
        <w:t>desconoció</w:t>
      </w:r>
      <w:r w:rsidRPr="0033605D">
        <w:rPr>
          <w:rFonts w:ascii="Verdana" w:hAnsi="Verdana"/>
          <w:sz w:val="20"/>
          <w:szCs w:val="20"/>
          <w:lang w:val="es-ES"/>
        </w:rPr>
        <w:t xml:space="preserve"> los derechos a la salud, la integridad personal, la vida privada y la prohibición de violencia contra la mujer. </w:t>
      </w:r>
      <w:r w:rsidR="00585635" w:rsidRPr="0033605D">
        <w:rPr>
          <w:rFonts w:ascii="Verdana" w:hAnsi="Verdana"/>
          <w:sz w:val="20"/>
          <w:szCs w:val="20"/>
          <w:lang w:val="es-ES"/>
        </w:rPr>
        <w:t xml:space="preserve"> </w:t>
      </w:r>
    </w:p>
    <w:p w14:paraId="28F944DF" w14:textId="77777777" w:rsidR="006D6A52" w:rsidRPr="0033605D" w:rsidRDefault="00674FBB"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iCs/>
          <w:sz w:val="20"/>
          <w:szCs w:val="20"/>
        </w:rPr>
      </w:pPr>
      <w:r w:rsidRPr="0033605D">
        <w:rPr>
          <w:rFonts w:ascii="Verdana" w:hAnsi="Verdana"/>
          <w:sz w:val="20"/>
          <w:szCs w:val="20"/>
        </w:rPr>
        <w:t>Como explicaré a continuación</w:t>
      </w:r>
      <w:r w:rsidR="00A35BF2" w:rsidRPr="0033605D">
        <w:rPr>
          <w:rFonts w:ascii="Verdana" w:hAnsi="Verdana"/>
          <w:sz w:val="20"/>
          <w:szCs w:val="20"/>
        </w:rPr>
        <w:t>,</w:t>
      </w:r>
      <w:r w:rsidRPr="0033605D">
        <w:rPr>
          <w:rFonts w:ascii="Verdana" w:hAnsi="Verdana"/>
          <w:sz w:val="20"/>
          <w:szCs w:val="20"/>
        </w:rPr>
        <w:t xml:space="preserve"> </w:t>
      </w:r>
      <w:r w:rsidR="0056222E" w:rsidRPr="0033605D">
        <w:rPr>
          <w:rFonts w:ascii="Verdana" w:hAnsi="Verdana"/>
          <w:sz w:val="20"/>
          <w:szCs w:val="20"/>
        </w:rPr>
        <w:t xml:space="preserve">considero </w:t>
      </w:r>
      <w:r w:rsidR="00D9561C" w:rsidRPr="0033605D">
        <w:rPr>
          <w:rFonts w:ascii="Verdana" w:hAnsi="Verdana"/>
          <w:sz w:val="20"/>
          <w:szCs w:val="20"/>
        </w:rPr>
        <w:t xml:space="preserve">que la Corte debió concluir que </w:t>
      </w:r>
      <w:r w:rsidR="002972A8" w:rsidRPr="0033605D">
        <w:rPr>
          <w:rFonts w:ascii="Verdana" w:hAnsi="Verdana"/>
          <w:sz w:val="20"/>
          <w:szCs w:val="20"/>
        </w:rPr>
        <w:t>E</w:t>
      </w:r>
      <w:r w:rsidRPr="0033605D">
        <w:rPr>
          <w:rFonts w:ascii="Verdana" w:hAnsi="Verdana"/>
          <w:sz w:val="20"/>
          <w:szCs w:val="20"/>
        </w:rPr>
        <w:t xml:space="preserve">l Salvador era responsable internacionalmente por </w:t>
      </w:r>
      <w:r w:rsidR="009C0792" w:rsidRPr="0033605D">
        <w:rPr>
          <w:rFonts w:ascii="Verdana" w:hAnsi="Verdana"/>
          <w:sz w:val="20"/>
          <w:szCs w:val="20"/>
        </w:rPr>
        <w:t xml:space="preserve">la violación de </w:t>
      </w:r>
      <w:r w:rsidR="00471786" w:rsidRPr="0033605D">
        <w:rPr>
          <w:rFonts w:ascii="Verdana" w:hAnsi="Verdana"/>
          <w:sz w:val="20"/>
          <w:szCs w:val="20"/>
        </w:rPr>
        <w:t xml:space="preserve">los derechos a </w:t>
      </w:r>
      <w:r w:rsidRPr="0033605D">
        <w:rPr>
          <w:rFonts w:ascii="Verdana" w:hAnsi="Verdana"/>
          <w:sz w:val="20"/>
          <w:szCs w:val="20"/>
        </w:rPr>
        <w:t>la integridad personal</w:t>
      </w:r>
      <w:r w:rsidR="00344068" w:rsidRPr="0033605D">
        <w:rPr>
          <w:rFonts w:ascii="Verdana" w:hAnsi="Verdana"/>
          <w:sz w:val="20"/>
          <w:szCs w:val="20"/>
        </w:rPr>
        <w:t>, la libertad</w:t>
      </w:r>
      <w:r w:rsidR="002A7B5E" w:rsidRPr="0033605D">
        <w:rPr>
          <w:rFonts w:ascii="Verdana" w:hAnsi="Verdana"/>
          <w:sz w:val="20"/>
          <w:szCs w:val="20"/>
        </w:rPr>
        <w:t>,</w:t>
      </w:r>
      <w:r w:rsidR="00D649BE" w:rsidRPr="0033605D">
        <w:rPr>
          <w:rFonts w:ascii="Verdana" w:hAnsi="Verdana"/>
          <w:sz w:val="20"/>
          <w:szCs w:val="20"/>
        </w:rPr>
        <w:t xml:space="preserve"> </w:t>
      </w:r>
      <w:r w:rsidRPr="0033605D">
        <w:rPr>
          <w:rFonts w:ascii="Verdana" w:hAnsi="Verdana"/>
          <w:sz w:val="20"/>
          <w:szCs w:val="20"/>
        </w:rPr>
        <w:t>la vida privada</w:t>
      </w:r>
      <w:r w:rsidR="00344068" w:rsidRPr="0033605D">
        <w:rPr>
          <w:rFonts w:ascii="Verdana" w:hAnsi="Verdana"/>
          <w:sz w:val="20"/>
          <w:szCs w:val="20"/>
        </w:rPr>
        <w:t xml:space="preserve"> y la igualdad y no discriminación</w:t>
      </w:r>
      <w:r w:rsidRPr="0033605D">
        <w:rPr>
          <w:rFonts w:ascii="Verdana" w:hAnsi="Verdana"/>
          <w:sz w:val="20"/>
          <w:szCs w:val="20"/>
        </w:rPr>
        <w:t xml:space="preserve">, en relación con </w:t>
      </w:r>
      <w:r w:rsidR="002E4FC0" w:rsidRPr="0033605D">
        <w:rPr>
          <w:rFonts w:ascii="Verdana" w:hAnsi="Verdana"/>
          <w:sz w:val="20"/>
          <w:szCs w:val="20"/>
        </w:rPr>
        <w:t>el</w:t>
      </w:r>
      <w:r w:rsidRPr="0033605D">
        <w:rPr>
          <w:rFonts w:ascii="Verdana" w:hAnsi="Verdana"/>
          <w:sz w:val="20"/>
          <w:szCs w:val="20"/>
        </w:rPr>
        <w:t xml:space="preserve"> derecho a la salud </w:t>
      </w:r>
      <w:r w:rsidR="00865A23" w:rsidRPr="0033605D">
        <w:rPr>
          <w:rFonts w:ascii="Verdana" w:hAnsi="Verdana"/>
          <w:sz w:val="20"/>
          <w:szCs w:val="20"/>
        </w:rPr>
        <w:t xml:space="preserve">y </w:t>
      </w:r>
      <w:r w:rsidR="00D649BE" w:rsidRPr="0033605D">
        <w:rPr>
          <w:rFonts w:ascii="Verdana" w:hAnsi="Verdana"/>
          <w:sz w:val="20"/>
          <w:szCs w:val="20"/>
        </w:rPr>
        <w:t>la obligación de erradicar la violencia</w:t>
      </w:r>
      <w:r w:rsidR="00865A23" w:rsidRPr="0033605D">
        <w:rPr>
          <w:rFonts w:ascii="Verdana" w:hAnsi="Verdana"/>
          <w:sz w:val="20"/>
          <w:szCs w:val="20"/>
        </w:rPr>
        <w:t xml:space="preserve"> contra la mujer</w:t>
      </w:r>
      <w:r w:rsidR="002A7B5E" w:rsidRPr="0033605D">
        <w:rPr>
          <w:rFonts w:ascii="Verdana" w:hAnsi="Verdana"/>
          <w:sz w:val="20"/>
          <w:szCs w:val="20"/>
        </w:rPr>
        <w:t>, contenida en</w:t>
      </w:r>
      <w:r w:rsidR="00865A23" w:rsidRPr="0033605D">
        <w:rPr>
          <w:rFonts w:ascii="Verdana" w:hAnsi="Verdana"/>
          <w:sz w:val="20"/>
          <w:szCs w:val="20"/>
        </w:rPr>
        <w:t xml:space="preserve"> la Convención de Belém do Pará</w:t>
      </w:r>
      <w:r w:rsidR="00BA5AA4" w:rsidRPr="0033605D">
        <w:rPr>
          <w:rFonts w:ascii="Verdana" w:hAnsi="Verdana"/>
          <w:sz w:val="20"/>
          <w:szCs w:val="20"/>
        </w:rPr>
        <w:t xml:space="preserve">, causada por </w:t>
      </w:r>
      <w:r w:rsidR="00FB4CDC" w:rsidRPr="0033605D">
        <w:rPr>
          <w:rFonts w:ascii="Verdana" w:hAnsi="Verdana"/>
          <w:iCs/>
          <w:sz w:val="20"/>
          <w:szCs w:val="20"/>
        </w:rPr>
        <w:t>la criminalización del aborto en</w:t>
      </w:r>
      <w:r w:rsidR="00BA5AA4" w:rsidRPr="0033605D">
        <w:rPr>
          <w:rFonts w:ascii="Verdana" w:hAnsi="Verdana"/>
          <w:iCs/>
          <w:sz w:val="20"/>
          <w:szCs w:val="20"/>
        </w:rPr>
        <w:t xml:space="preserve"> casos de </w:t>
      </w:r>
      <w:r w:rsidR="00C21C73" w:rsidRPr="0033605D">
        <w:rPr>
          <w:rFonts w:ascii="Verdana" w:hAnsi="Verdana"/>
          <w:iCs/>
          <w:sz w:val="20"/>
          <w:szCs w:val="20"/>
        </w:rPr>
        <w:t>riesgo para la madre</w:t>
      </w:r>
      <w:r w:rsidR="002972A8" w:rsidRPr="0033605D">
        <w:rPr>
          <w:rFonts w:ascii="Verdana" w:hAnsi="Verdana"/>
          <w:iCs/>
          <w:sz w:val="20"/>
          <w:szCs w:val="20"/>
        </w:rPr>
        <w:t xml:space="preserve"> e inviabilidad de la vida extrauterina del feto</w:t>
      </w:r>
      <w:r w:rsidR="00471786" w:rsidRPr="0033605D">
        <w:rPr>
          <w:rFonts w:ascii="Verdana" w:hAnsi="Verdana"/>
          <w:iCs/>
          <w:sz w:val="20"/>
          <w:szCs w:val="20"/>
        </w:rPr>
        <w:t xml:space="preserve">. Asimismo, la Corte debió concluir que </w:t>
      </w:r>
      <w:r w:rsidR="001A6176" w:rsidRPr="0033605D">
        <w:rPr>
          <w:rFonts w:ascii="Verdana" w:hAnsi="Verdana"/>
          <w:iCs/>
          <w:sz w:val="20"/>
          <w:szCs w:val="20"/>
        </w:rPr>
        <w:t>dicha prohibición y sus consecuencias sobre la atención médica violaron el derecho a la vida de Beatriz</w:t>
      </w:r>
      <w:r w:rsidR="00BB2B07" w:rsidRPr="0033605D">
        <w:rPr>
          <w:rFonts w:ascii="Verdana" w:hAnsi="Verdana"/>
          <w:iCs/>
          <w:sz w:val="20"/>
          <w:szCs w:val="20"/>
        </w:rPr>
        <w:t xml:space="preserve"> y su autonomía reproductiva</w:t>
      </w:r>
      <w:r w:rsidR="001A6176" w:rsidRPr="0033605D">
        <w:rPr>
          <w:rFonts w:ascii="Verdana" w:hAnsi="Verdana"/>
          <w:iCs/>
          <w:sz w:val="20"/>
          <w:szCs w:val="20"/>
        </w:rPr>
        <w:t>.</w:t>
      </w:r>
      <w:r w:rsidR="00DC0E2B" w:rsidRPr="0033605D">
        <w:rPr>
          <w:rFonts w:ascii="Verdana" w:hAnsi="Verdana"/>
          <w:iCs/>
          <w:sz w:val="20"/>
          <w:szCs w:val="20"/>
        </w:rPr>
        <w:t xml:space="preserve"> Como consecuencia, debió declarar la violación de los artículos 2 de la Convención Americana </w:t>
      </w:r>
      <w:r w:rsidR="0093257E" w:rsidRPr="0033605D">
        <w:rPr>
          <w:rFonts w:ascii="Verdana" w:hAnsi="Verdana"/>
          <w:iCs/>
          <w:sz w:val="20"/>
          <w:szCs w:val="20"/>
        </w:rPr>
        <w:t xml:space="preserve">de Derechos Humanos </w:t>
      </w:r>
      <w:r w:rsidR="0093257E" w:rsidRPr="0033605D">
        <w:rPr>
          <w:rFonts w:ascii="Verdana" w:hAnsi="Verdana"/>
          <w:sz w:val="20"/>
          <w:szCs w:val="20"/>
          <w:lang w:val="es-ES"/>
        </w:rPr>
        <w:t>(en adelante “la Convención” o “CADH”)</w:t>
      </w:r>
      <w:r w:rsidR="0093257E" w:rsidRPr="0033605D">
        <w:rPr>
          <w:rFonts w:ascii="Verdana" w:hAnsi="Verdana"/>
          <w:iCs/>
          <w:sz w:val="20"/>
          <w:szCs w:val="20"/>
        </w:rPr>
        <w:t xml:space="preserve"> </w:t>
      </w:r>
      <w:r w:rsidR="00DC0E2B" w:rsidRPr="0033605D">
        <w:rPr>
          <w:rFonts w:ascii="Verdana" w:hAnsi="Verdana"/>
          <w:iCs/>
          <w:sz w:val="20"/>
          <w:szCs w:val="20"/>
        </w:rPr>
        <w:t xml:space="preserve">y 7 e) de la Convención </w:t>
      </w:r>
      <w:r w:rsidR="00DC0E2B" w:rsidRPr="0033605D">
        <w:rPr>
          <w:rFonts w:ascii="Verdana" w:hAnsi="Verdana"/>
          <w:iCs/>
          <w:sz w:val="20"/>
          <w:szCs w:val="20"/>
        </w:rPr>
        <w:lastRenderedPageBreak/>
        <w:t xml:space="preserve">de Belém do Pará, por la </w:t>
      </w:r>
      <w:r w:rsidR="0093257E" w:rsidRPr="0033605D">
        <w:rPr>
          <w:rFonts w:ascii="Verdana" w:hAnsi="Verdana"/>
          <w:iCs/>
          <w:sz w:val="20"/>
          <w:szCs w:val="20"/>
        </w:rPr>
        <w:t>existencia</w:t>
      </w:r>
      <w:r w:rsidR="00DC0E2B" w:rsidRPr="0033605D">
        <w:rPr>
          <w:rFonts w:ascii="Verdana" w:hAnsi="Verdana"/>
          <w:iCs/>
          <w:sz w:val="20"/>
          <w:szCs w:val="20"/>
        </w:rPr>
        <w:t xml:space="preserve"> de disposiciones que </w:t>
      </w:r>
      <w:r w:rsidR="0093257E" w:rsidRPr="0033605D">
        <w:rPr>
          <w:rFonts w:ascii="Verdana" w:hAnsi="Verdana"/>
          <w:iCs/>
          <w:sz w:val="20"/>
          <w:szCs w:val="20"/>
        </w:rPr>
        <w:t>impiden</w:t>
      </w:r>
      <w:r w:rsidR="00DC0E2B" w:rsidRPr="0033605D">
        <w:rPr>
          <w:rFonts w:ascii="Verdana" w:hAnsi="Verdana"/>
          <w:iCs/>
          <w:sz w:val="20"/>
          <w:szCs w:val="20"/>
        </w:rPr>
        <w:t xml:space="preserve"> el ejercicio de los derechos sexuales y reproductivos, y ordenar medidas legislativas para evitar que hechos como el del presente caso se repitieran. </w:t>
      </w:r>
    </w:p>
    <w:p w14:paraId="6344EF86" w14:textId="385E75F6" w:rsidR="005520A4" w:rsidRPr="0033605D" w:rsidRDefault="00494246"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iCs/>
          <w:sz w:val="20"/>
          <w:szCs w:val="20"/>
        </w:rPr>
      </w:pPr>
      <w:r w:rsidRPr="0033605D">
        <w:rPr>
          <w:rFonts w:ascii="Verdana" w:hAnsi="Verdana"/>
          <w:sz w:val="20"/>
          <w:szCs w:val="20"/>
        </w:rPr>
        <w:t xml:space="preserve">Para </w:t>
      </w:r>
      <w:r w:rsidR="001A6176" w:rsidRPr="0033605D">
        <w:rPr>
          <w:rFonts w:ascii="Verdana" w:hAnsi="Verdana"/>
          <w:sz w:val="20"/>
          <w:szCs w:val="20"/>
        </w:rPr>
        <w:t>sustentar esta posición</w:t>
      </w:r>
      <w:r w:rsidRPr="0033605D">
        <w:rPr>
          <w:rFonts w:ascii="Verdana" w:hAnsi="Verdana"/>
          <w:sz w:val="20"/>
          <w:szCs w:val="20"/>
        </w:rPr>
        <w:t>, el presente voto se divide en dos secciones: i) la jurisprudencia de la Corte Interamericana sobre derechos sexuales y reproductivos y su falta de aplicación al caso concreto y ii) la criminalización de la interrupción voluntaria del embarazo en casos de peligro para la madre</w:t>
      </w:r>
      <w:r w:rsidR="005520A4" w:rsidRPr="0033605D">
        <w:rPr>
          <w:rFonts w:ascii="Verdana" w:hAnsi="Verdana"/>
          <w:sz w:val="20"/>
          <w:szCs w:val="20"/>
        </w:rPr>
        <w:t xml:space="preserve"> e inviabilidad de la vida extrauterina del feto</w:t>
      </w:r>
      <w:r w:rsidRPr="0033605D">
        <w:rPr>
          <w:rFonts w:ascii="Verdana" w:hAnsi="Verdana"/>
          <w:sz w:val="20"/>
          <w:szCs w:val="20"/>
        </w:rPr>
        <w:t xml:space="preserve"> y el uso de protocolos médicos en El Salvador.</w:t>
      </w:r>
      <w:r w:rsidR="00127722" w:rsidRPr="0033605D">
        <w:rPr>
          <w:rFonts w:ascii="Verdana" w:hAnsi="Verdana"/>
          <w:iCs/>
          <w:sz w:val="20"/>
          <w:szCs w:val="20"/>
        </w:rPr>
        <w:t xml:space="preserve"> En lo que refiere a mi disidencia frente a l</w:t>
      </w:r>
      <w:r w:rsidR="0093257E" w:rsidRPr="0033605D">
        <w:rPr>
          <w:rFonts w:ascii="Verdana" w:hAnsi="Verdana"/>
          <w:iCs/>
          <w:sz w:val="20"/>
          <w:szCs w:val="20"/>
        </w:rPr>
        <w:t>os argumentos que se utilizan para fundamentar la</w:t>
      </w:r>
      <w:r w:rsidR="00127722" w:rsidRPr="0033605D">
        <w:rPr>
          <w:rFonts w:ascii="Verdana" w:hAnsi="Verdana"/>
          <w:iCs/>
          <w:sz w:val="20"/>
          <w:szCs w:val="20"/>
        </w:rPr>
        <w:t xml:space="preserve"> justici</w:t>
      </w:r>
      <w:r w:rsidR="00F26AB4" w:rsidRPr="0033605D">
        <w:rPr>
          <w:rFonts w:ascii="Verdana" w:hAnsi="Verdana"/>
          <w:iCs/>
          <w:sz w:val="20"/>
          <w:szCs w:val="20"/>
        </w:rPr>
        <w:t>a</w:t>
      </w:r>
      <w:r w:rsidR="00127722" w:rsidRPr="0033605D">
        <w:rPr>
          <w:rFonts w:ascii="Verdana" w:hAnsi="Verdana"/>
          <w:iCs/>
          <w:sz w:val="20"/>
          <w:szCs w:val="20"/>
        </w:rPr>
        <w:t>bilidad del derecho a la salud en el caso</w:t>
      </w:r>
      <w:r w:rsidR="009F2DDF" w:rsidRPr="0033605D">
        <w:rPr>
          <w:rFonts w:ascii="Verdana" w:hAnsi="Verdana"/>
          <w:iCs/>
          <w:sz w:val="20"/>
          <w:szCs w:val="20"/>
        </w:rPr>
        <w:t xml:space="preserve"> concreto</w:t>
      </w:r>
      <w:r w:rsidR="00127722" w:rsidRPr="0033605D">
        <w:rPr>
          <w:rFonts w:ascii="Verdana" w:hAnsi="Verdana"/>
          <w:iCs/>
          <w:sz w:val="20"/>
          <w:szCs w:val="20"/>
        </w:rPr>
        <w:t xml:space="preserve">, considero que no resulta relevante reiterar las </w:t>
      </w:r>
      <w:r w:rsidR="00C105C6" w:rsidRPr="0033605D">
        <w:rPr>
          <w:rFonts w:ascii="Verdana" w:hAnsi="Verdana"/>
          <w:iCs/>
          <w:sz w:val="20"/>
          <w:szCs w:val="20"/>
        </w:rPr>
        <w:t>profundas inconsistencias lógicas y jurídicas</w:t>
      </w:r>
      <w:r w:rsidR="00BB2B07" w:rsidRPr="0033605D">
        <w:rPr>
          <w:rFonts w:ascii="Verdana" w:hAnsi="Verdana"/>
          <w:iCs/>
          <w:sz w:val="20"/>
          <w:szCs w:val="20"/>
        </w:rPr>
        <w:t xml:space="preserve"> de esta </w:t>
      </w:r>
      <w:r w:rsidR="0043549E" w:rsidRPr="0033605D">
        <w:rPr>
          <w:rFonts w:ascii="Verdana" w:hAnsi="Verdana"/>
          <w:iCs/>
          <w:sz w:val="20"/>
          <w:szCs w:val="20"/>
        </w:rPr>
        <w:t>postura jurisprudencial</w:t>
      </w:r>
      <w:r w:rsidR="00C105C6" w:rsidRPr="0033605D">
        <w:rPr>
          <w:rFonts w:ascii="Verdana" w:hAnsi="Verdana"/>
          <w:iCs/>
          <w:sz w:val="20"/>
          <w:szCs w:val="20"/>
        </w:rPr>
        <w:t>. Para esos efectos remito a mis votos anteriores sobre la materia</w:t>
      </w:r>
      <w:r w:rsidR="00C105C6" w:rsidRPr="0033605D">
        <w:rPr>
          <w:rStyle w:val="Refdenotaalpie"/>
          <w:rFonts w:ascii="Verdana" w:hAnsi="Verdana"/>
          <w:iCs/>
          <w:sz w:val="20"/>
          <w:szCs w:val="20"/>
        </w:rPr>
        <w:footnoteReference w:id="1"/>
      </w:r>
      <w:r w:rsidR="00C105C6" w:rsidRPr="0033605D">
        <w:rPr>
          <w:rFonts w:ascii="Verdana" w:hAnsi="Verdana"/>
          <w:iCs/>
          <w:sz w:val="20"/>
          <w:szCs w:val="20"/>
        </w:rPr>
        <w:t xml:space="preserve">. </w:t>
      </w:r>
    </w:p>
    <w:p w14:paraId="2CDCB3FE" w14:textId="6CAC69CB" w:rsidR="00970D62" w:rsidRPr="0033605D" w:rsidRDefault="00970D62" w:rsidP="00DA5555">
      <w:pPr>
        <w:pStyle w:val="Ttulo1"/>
      </w:pPr>
      <w:r w:rsidRPr="0033605D">
        <w:t>L</w:t>
      </w:r>
      <w:r w:rsidR="00BA1A69" w:rsidRPr="0033605D">
        <w:t>a jurisprudencia de la Corte Interamericana sobre derechos sexuales y reproductivos y su falta de aplicación al caso concreto</w:t>
      </w:r>
    </w:p>
    <w:p w14:paraId="3C548CB6" w14:textId="799E2C6E" w:rsidR="009422D8" w:rsidRPr="0033605D" w:rsidRDefault="004436EF"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Los derechos sexuales y reproductivos</w:t>
      </w:r>
      <w:r w:rsidR="00FA1A2F" w:rsidRPr="0033605D">
        <w:rPr>
          <w:rFonts w:ascii="Verdana" w:hAnsi="Verdana"/>
          <w:sz w:val="20"/>
          <w:szCs w:val="20"/>
          <w:lang w:val="es-ES"/>
        </w:rPr>
        <w:t xml:space="preserve"> se encuentran protegidos por la Convención Americana</w:t>
      </w:r>
      <w:r w:rsidR="00E231C3" w:rsidRPr="0033605D">
        <w:rPr>
          <w:rFonts w:ascii="Verdana" w:hAnsi="Verdana"/>
          <w:sz w:val="20"/>
          <w:szCs w:val="20"/>
          <w:lang w:val="es-ES"/>
        </w:rPr>
        <w:t xml:space="preserve">, </w:t>
      </w:r>
      <w:r w:rsidR="00CF36C8" w:rsidRPr="0033605D">
        <w:rPr>
          <w:rFonts w:ascii="Verdana" w:hAnsi="Verdana"/>
          <w:sz w:val="20"/>
          <w:szCs w:val="20"/>
          <w:lang w:val="es-ES"/>
        </w:rPr>
        <w:t xml:space="preserve">en particular </w:t>
      </w:r>
      <w:r w:rsidR="00C826D8" w:rsidRPr="0033605D">
        <w:rPr>
          <w:rFonts w:ascii="Verdana" w:hAnsi="Verdana"/>
          <w:sz w:val="20"/>
          <w:szCs w:val="20"/>
          <w:lang w:val="es-ES"/>
        </w:rPr>
        <w:t>por</w:t>
      </w:r>
      <w:r w:rsidR="00D85329" w:rsidRPr="0033605D">
        <w:rPr>
          <w:rFonts w:ascii="Verdana" w:hAnsi="Verdana"/>
          <w:sz w:val="20"/>
          <w:szCs w:val="20"/>
          <w:lang w:val="es-ES"/>
        </w:rPr>
        <w:t xml:space="preserve"> los artículos </w:t>
      </w:r>
      <w:r w:rsidR="003577D0" w:rsidRPr="0033605D">
        <w:rPr>
          <w:rFonts w:ascii="Verdana" w:hAnsi="Verdana"/>
          <w:sz w:val="20"/>
          <w:szCs w:val="20"/>
          <w:lang w:val="es-ES"/>
        </w:rPr>
        <w:t>4, 5, 7</w:t>
      </w:r>
      <w:r w:rsidR="002D6E83" w:rsidRPr="0033605D">
        <w:rPr>
          <w:rFonts w:ascii="Verdana" w:hAnsi="Verdana"/>
          <w:sz w:val="20"/>
          <w:szCs w:val="20"/>
          <w:lang w:val="es-ES"/>
        </w:rPr>
        <w:t>,</w:t>
      </w:r>
      <w:r w:rsidR="003577D0" w:rsidRPr="0033605D">
        <w:rPr>
          <w:rFonts w:ascii="Verdana" w:hAnsi="Verdana"/>
          <w:sz w:val="20"/>
          <w:szCs w:val="20"/>
          <w:lang w:val="es-ES"/>
        </w:rPr>
        <w:t xml:space="preserve"> 11</w:t>
      </w:r>
      <w:r w:rsidR="002D6E83" w:rsidRPr="0033605D">
        <w:rPr>
          <w:rFonts w:ascii="Verdana" w:hAnsi="Verdana"/>
          <w:sz w:val="20"/>
          <w:szCs w:val="20"/>
          <w:lang w:val="es-ES"/>
        </w:rPr>
        <w:t xml:space="preserve"> y 24 en relación con los artículos 1.1</w:t>
      </w:r>
      <w:r w:rsidR="003577D0" w:rsidRPr="0033605D">
        <w:rPr>
          <w:rFonts w:ascii="Verdana" w:hAnsi="Verdana"/>
          <w:sz w:val="20"/>
          <w:szCs w:val="20"/>
          <w:lang w:val="es-ES"/>
        </w:rPr>
        <w:t xml:space="preserve"> y 26 de la Convención. </w:t>
      </w:r>
      <w:r w:rsidR="00E231C3" w:rsidRPr="0033605D">
        <w:rPr>
          <w:rFonts w:ascii="Verdana" w:hAnsi="Verdana"/>
          <w:sz w:val="20"/>
          <w:szCs w:val="20"/>
          <w:lang w:val="es-ES"/>
        </w:rPr>
        <w:t xml:space="preserve"> </w:t>
      </w:r>
      <w:r w:rsidR="002D6E83" w:rsidRPr="0033605D">
        <w:rPr>
          <w:rFonts w:ascii="Verdana" w:hAnsi="Verdana"/>
          <w:sz w:val="20"/>
          <w:szCs w:val="20"/>
          <w:lang w:val="es-ES"/>
        </w:rPr>
        <w:t>Así lo ha</w:t>
      </w:r>
      <w:r w:rsidR="003607D6" w:rsidRPr="0033605D">
        <w:rPr>
          <w:rFonts w:ascii="Verdana" w:hAnsi="Verdana"/>
          <w:sz w:val="20"/>
          <w:szCs w:val="20"/>
          <w:lang w:val="es-ES"/>
        </w:rPr>
        <w:t xml:space="preserve"> reconocido </w:t>
      </w:r>
      <w:r w:rsidRPr="0033605D">
        <w:rPr>
          <w:rFonts w:ascii="Verdana" w:hAnsi="Verdana"/>
          <w:sz w:val="20"/>
          <w:szCs w:val="20"/>
          <w:lang w:val="es-ES"/>
        </w:rPr>
        <w:t xml:space="preserve">la Corte </w:t>
      </w:r>
      <w:r w:rsidR="003607D6" w:rsidRPr="0033605D">
        <w:rPr>
          <w:rFonts w:ascii="Verdana" w:hAnsi="Verdana"/>
          <w:sz w:val="20"/>
          <w:szCs w:val="20"/>
          <w:lang w:val="es-ES"/>
        </w:rPr>
        <w:t xml:space="preserve">desde el caso </w:t>
      </w:r>
      <w:r w:rsidR="003607D6" w:rsidRPr="005B4245">
        <w:rPr>
          <w:rFonts w:ascii="Verdana" w:hAnsi="Verdana"/>
          <w:i/>
          <w:iCs/>
          <w:sz w:val="20"/>
          <w:szCs w:val="20"/>
          <w:lang w:val="es-ES"/>
        </w:rPr>
        <w:t>Artavia Murillo vs. Costa Rica</w:t>
      </w:r>
      <w:r w:rsidR="002C1020" w:rsidRPr="0033605D">
        <w:rPr>
          <w:rStyle w:val="Refdenotaalpie"/>
          <w:rFonts w:ascii="Verdana" w:hAnsi="Verdana"/>
          <w:sz w:val="20"/>
          <w:szCs w:val="20"/>
          <w:lang w:val="es-ES"/>
        </w:rPr>
        <w:footnoteReference w:id="2"/>
      </w:r>
      <w:r w:rsidR="00E85FC4" w:rsidRPr="0033605D">
        <w:rPr>
          <w:rFonts w:ascii="Verdana" w:hAnsi="Verdana"/>
          <w:sz w:val="20"/>
          <w:szCs w:val="20"/>
          <w:lang w:val="es-ES"/>
        </w:rPr>
        <w:t xml:space="preserve"> y </w:t>
      </w:r>
      <w:r w:rsidR="003351FF" w:rsidRPr="0033605D">
        <w:rPr>
          <w:rFonts w:ascii="Verdana" w:hAnsi="Verdana"/>
          <w:sz w:val="20"/>
          <w:szCs w:val="20"/>
          <w:lang w:val="es-ES"/>
        </w:rPr>
        <w:t xml:space="preserve">en varios </w:t>
      </w:r>
      <w:r w:rsidR="00E85FC4" w:rsidRPr="0033605D">
        <w:rPr>
          <w:rFonts w:ascii="Verdana" w:hAnsi="Verdana"/>
          <w:sz w:val="20"/>
          <w:szCs w:val="20"/>
          <w:lang w:val="es-ES"/>
        </w:rPr>
        <w:t>casos</w:t>
      </w:r>
      <w:r w:rsidR="00C35EFE" w:rsidRPr="0033605D">
        <w:rPr>
          <w:rFonts w:ascii="Verdana" w:hAnsi="Verdana"/>
          <w:sz w:val="20"/>
          <w:szCs w:val="20"/>
          <w:lang w:val="es-ES"/>
        </w:rPr>
        <w:t xml:space="preserve"> posteriores</w:t>
      </w:r>
      <w:r w:rsidR="006E2CFD" w:rsidRPr="0033605D">
        <w:rPr>
          <w:rStyle w:val="Refdenotaalpie"/>
          <w:rFonts w:ascii="Verdana" w:hAnsi="Verdana"/>
          <w:sz w:val="20"/>
          <w:szCs w:val="20"/>
          <w:lang w:val="es-ES"/>
        </w:rPr>
        <w:footnoteReference w:id="3"/>
      </w:r>
      <w:r w:rsidR="00E85FC4" w:rsidRPr="0033605D">
        <w:rPr>
          <w:rFonts w:ascii="Verdana" w:hAnsi="Verdana"/>
          <w:sz w:val="20"/>
          <w:szCs w:val="20"/>
          <w:lang w:val="es-ES"/>
        </w:rPr>
        <w:t xml:space="preserve">, en los que ha destacado el alcance y contenido de </w:t>
      </w:r>
      <w:r w:rsidR="0075204B" w:rsidRPr="0033605D">
        <w:rPr>
          <w:rFonts w:ascii="Verdana" w:hAnsi="Verdana"/>
          <w:sz w:val="20"/>
          <w:szCs w:val="20"/>
          <w:lang w:val="es-ES"/>
        </w:rPr>
        <w:t xml:space="preserve">las </w:t>
      </w:r>
      <w:r w:rsidR="00E85FC4" w:rsidRPr="0033605D">
        <w:rPr>
          <w:rFonts w:ascii="Verdana" w:hAnsi="Verdana"/>
          <w:sz w:val="20"/>
          <w:szCs w:val="20"/>
          <w:lang w:val="es-ES"/>
        </w:rPr>
        <w:t xml:space="preserve">obligaciones </w:t>
      </w:r>
      <w:r w:rsidR="005F16BE">
        <w:rPr>
          <w:rFonts w:ascii="Verdana" w:hAnsi="Verdana"/>
          <w:sz w:val="20"/>
          <w:szCs w:val="20"/>
          <w:lang w:val="es-ES"/>
        </w:rPr>
        <w:t>e</w:t>
      </w:r>
      <w:r w:rsidR="0075204B" w:rsidRPr="0033605D">
        <w:rPr>
          <w:rFonts w:ascii="Verdana" w:hAnsi="Verdana"/>
          <w:sz w:val="20"/>
          <w:szCs w:val="20"/>
          <w:lang w:val="es-ES"/>
        </w:rPr>
        <w:t xml:space="preserve">statales </w:t>
      </w:r>
      <w:r w:rsidR="00E85FC4" w:rsidRPr="0033605D">
        <w:rPr>
          <w:rFonts w:ascii="Verdana" w:hAnsi="Verdana"/>
          <w:sz w:val="20"/>
          <w:szCs w:val="20"/>
          <w:lang w:val="es-ES"/>
        </w:rPr>
        <w:t xml:space="preserve">relacionadas con la </w:t>
      </w:r>
      <w:r w:rsidR="00976638" w:rsidRPr="0033605D">
        <w:rPr>
          <w:rFonts w:ascii="Verdana" w:hAnsi="Verdana"/>
          <w:sz w:val="20"/>
          <w:szCs w:val="20"/>
          <w:lang w:val="es-ES"/>
        </w:rPr>
        <w:t xml:space="preserve">integridad personal, </w:t>
      </w:r>
      <w:r w:rsidR="0043549E" w:rsidRPr="0033605D">
        <w:rPr>
          <w:rFonts w:ascii="Verdana" w:hAnsi="Verdana"/>
          <w:sz w:val="20"/>
          <w:szCs w:val="20"/>
          <w:lang w:val="es-ES"/>
        </w:rPr>
        <w:t xml:space="preserve">la libertad, </w:t>
      </w:r>
      <w:r w:rsidR="00976638" w:rsidRPr="0033605D">
        <w:rPr>
          <w:rFonts w:ascii="Verdana" w:hAnsi="Verdana"/>
          <w:sz w:val="20"/>
          <w:szCs w:val="20"/>
          <w:lang w:val="es-ES"/>
        </w:rPr>
        <w:t xml:space="preserve">la vida privada, </w:t>
      </w:r>
      <w:r w:rsidR="0025627F" w:rsidRPr="0033605D">
        <w:rPr>
          <w:rFonts w:ascii="Verdana" w:hAnsi="Verdana"/>
          <w:sz w:val="20"/>
          <w:szCs w:val="20"/>
          <w:lang w:val="es-ES"/>
        </w:rPr>
        <w:t>el acceso a la información</w:t>
      </w:r>
      <w:r w:rsidR="0043549E" w:rsidRPr="0033605D">
        <w:rPr>
          <w:rFonts w:ascii="Verdana" w:hAnsi="Verdana"/>
          <w:sz w:val="20"/>
          <w:szCs w:val="20"/>
          <w:lang w:val="es-ES"/>
        </w:rPr>
        <w:t xml:space="preserve">, la igualdad y no discriminación, la salud, </w:t>
      </w:r>
      <w:r w:rsidR="0025627F" w:rsidRPr="0033605D">
        <w:rPr>
          <w:rFonts w:ascii="Verdana" w:hAnsi="Verdana"/>
          <w:sz w:val="20"/>
          <w:szCs w:val="20"/>
          <w:lang w:val="es-ES"/>
        </w:rPr>
        <w:t>y la educación</w:t>
      </w:r>
      <w:r w:rsidR="003B23D5" w:rsidRPr="0033605D">
        <w:rPr>
          <w:rFonts w:ascii="Verdana" w:hAnsi="Verdana"/>
          <w:sz w:val="20"/>
          <w:szCs w:val="20"/>
          <w:lang w:val="es-ES"/>
        </w:rPr>
        <w:t xml:space="preserve">, en particular </w:t>
      </w:r>
      <w:r w:rsidR="00AA2620" w:rsidRPr="0033605D">
        <w:rPr>
          <w:rFonts w:ascii="Verdana" w:hAnsi="Verdana"/>
          <w:sz w:val="20"/>
          <w:szCs w:val="20"/>
          <w:lang w:val="es-ES"/>
        </w:rPr>
        <w:t>respecto de</w:t>
      </w:r>
      <w:r w:rsidR="003B23D5" w:rsidRPr="0033605D">
        <w:rPr>
          <w:rFonts w:ascii="Verdana" w:hAnsi="Verdana"/>
          <w:sz w:val="20"/>
          <w:szCs w:val="20"/>
          <w:lang w:val="es-ES"/>
        </w:rPr>
        <w:t xml:space="preserve"> los derechos de las mujeres</w:t>
      </w:r>
      <w:r w:rsidR="00095BC2" w:rsidRPr="0033605D">
        <w:rPr>
          <w:rStyle w:val="Refdenotaalpie"/>
          <w:rFonts w:ascii="Verdana" w:hAnsi="Verdana"/>
          <w:sz w:val="20"/>
          <w:szCs w:val="20"/>
          <w:lang w:val="es-ES"/>
        </w:rPr>
        <w:footnoteReference w:id="4"/>
      </w:r>
      <w:r w:rsidR="003B23D5" w:rsidRPr="0033605D">
        <w:rPr>
          <w:rFonts w:ascii="Verdana" w:hAnsi="Verdana"/>
          <w:sz w:val="20"/>
          <w:szCs w:val="20"/>
          <w:lang w:val="es-ES"/>
        </w:rPr>
        <w:t xml:space="preserve">. </w:t>
      </w:r>
      <w:r w:rsidR="004E4304" w:rsidRPr="0033605D">
        <w:rPr>
          <w:rFonts w:ascii="Verdana" w:hAnsi="Verdana"/>
          <w:sz w:val="20"/>
          <w:szCs w:val="20"/>
          <w:lang w:val="es-ES"/>
        </w:rPr>
        <w:t xml:space="preserve">Esta </w:t>
      </w:r>
      <w:r w:rsidR="004E4304" w:rsidRPr="0033605D">
        <w:rPr>
          <w:rFonts w:ascii="Verdana" w:hAnsi="Verdana"/>
          <w:sz w:val="20"/>
          <w:szCs w:val="20"/>
          <w:lang w:val="es-ES"/>
        </w:rPr>
        <w:lastRenderedPageBreak/>
        <w:t>importante interpretación</w:t>
      </w:r>
      <w:r w:rsidR="00976638" w:rsidRPr="0033605D">
        <w:rPr>
          <w:rFonts w:ascii="Verdana" w:hAnsi="Verdana"/>
          <w:sz w:val="20"/>
          <w:szCs w:val="20"/>
          <w:lang w:val="es-ES"/>
        </w:rPr>
        <w:t xml:space="preserve"> </w:t>
      </w:r>
      <w:r w:rsidR="00126F69" w:rsidRPr="0033605D">
        <w:rPr>
          <w:rFonts w:ascii="Verdana" w:hAnsi="Verdana"/>
          <w:sz w:val="20"/>
          <w:szCs w:val="20"/>
          <w:lang w:val="es-ES"/>
        </w:rPr>
        <w:t xml:space="preserve">jurisprudencial </w:t>
      </w:r>
      <w:r w:rsidR="00976638" w:rsidRPr="0033605D">
        <w:rPr>
          <w:rFonts w:ascii="Verdana" w:hAnsi="Verdana"/>
          <w:sz w:val="20"/>
          <w:szCs w:val="20"/>
          <w:lang w:val="es-ES"/>
        </w:rPr>
        <w:t xml:space="preserve">ha sido ignorada abiertamente </w:t>
      </w:r>
      <w:r w:rsidR="00C31FE4" w:rsidRPr="0033605D">
        <w:rPr>
          <w:rFonts w:ascii="Verdana" w:hAnsi="Verdana"/>
          <w:sz w:val="20"/>
          <w:szCs w:val="20"/>
          <w:lang w:val="es-ES"/>
        </w:rPr>
        <w:t xml:space="preserve">en </w:t>
      </w:r>
      <w:r w:rsidR="00126F69" w:rsidRPr="0033605D">
        <w:rPr>
          <w:rFonts w:ascii="Verdana" w:hAnsi="Verdana"/>
          <w:sz w:val="20"/>
          <w:szCs w:val="20"/>
          <w:lang w:val="es-ES"/>
        </w:rPr>
        <w:t>la presente</w:t>
      </w:r>
      <w:r w:rsidR="00C31FE4" w:rsidRPr="0033605D">
        <w:rPr>
          <w:rFonts w:ascii="Verdana" w:hAnsi="Verdana"/>
          <w:sz w:val="20"/>
          <w:szCs w:val="20"/>
          <w:lang w:val="es-ES"/>
        </w:rPr>
        <w:t xml:space="preserve"> sentencia</w:t>
      </w:r>
      <w:r w:rsidR="00976638" w:rsidRPr="0033605D">
        <w:rPr>
          <w:rFonts w:ascii="Verdana" w:hAnsi="Verdana"/>
          <w:sz w:val="20"/>
          <w:szCs w:val="20"/>
          <w:lang w:val="es-ES"/>
        </w:rPr>
        <w:t xml:space="preserve"> a pesar de que los hechos y alegadas violaciones se relacionaban </w:t>
      </w:r>
      <w:r w:rsidR="00C31FE4" w:rsidRPr="0033605D">
        <w:rPr>
          <w:rFonts w:ascii="Verdana" w:hAnsi="Verdana"/>
          <w:sz w:val="20"/>
          <w:szCs w:val="20"/>
          <w:lang w:val="es-ES"/>
        </w:rPr>
        <w:t>directamente</w:t>
      </w:r>
      <w:r w:rsidR="00976638" w:rsidRPr="0033605D">
        <w:rPr>
          <w:rFonts w:ascii="Verdana" w:hAnsi="Verdana"/>
          <w:sz w:val="20"/>
          <w:szCs w:val="20"/>
          <w:lang w:val="es-ES"/>
        </w:rPr>
        <w:t xml:space="preserve"> con </w:t>
      </w:r>
      <w:r w:rsidR="00FB5175" w:rsidRPr="0033605D">
        <w:rPr>
          <w:rFonts w:ascii="Verdana" w:hAnsi="Verdana"/>
          <w:sz w:val="20"/>
          <w:szCs w:val="20"/>
          <w:lang w:val="es-ES"/>
        </w:rPr>
        <w:t>su</w:t>
      </w:r>
      <w:r w:rsidR="00976638" w:rsidRPr="0033605D">
        <w:rPr>
          <w:rFonts w:ascii="Verdana" w:hAnsi="Verdana"/>
          <w:sz w:val="20"/>
          <w:szCs w:val="20"/>
          <w:lang w:val="es-ES"/>
        </w:rPr>
        <w:t xml:space="preserve"> ámbito de protección</w:t>
      </w:r>
      <w:r w:rsidR="0069221B" w:rsidRPr="0033605D">
        <w:rPr>
          <w:rFonts w:ascii="Verdana" w:hAnsi="Verdana"/>
          <w:sz w:val="20"/>
          <w:szCs w:val="20"/>
          <w:lang w:val="es-ES"/>
        </w:rPr>
        <w:t xml:space="preserve">. </w:t>
      </w:r>
      <w:r w:rsidR="0093257E" w:rsidRPr="0033605D">
        <w:rPr>
          <w:rFonts w:ascii="Verdana" w:hAnsi="Verdana"/>
          <w:sz w:val="20"/>
          <w:szCs w:val="20"/>
          <w:lang w:val="es-ES"/>
        </w:rPr>
        <w:t xml:space="preserve">En este sentido, debo llamar la atención de </w:t>
      </w:r>
      <w:r w:rsidR="009422D8" w:rsidRPr="0033605D">
        <w:rPr>
          <w:rFonts w:ascii="Verdana" w:hAnsi="Verdana"/>
          <w:sz w:val="20"/>
          <w:szCs w:val="20"/>
          <w:lang w:val="es-ES"/>
        </w:rPr>
        <w:t>que, para referirse a los derechos sexuales y reproductivos en e</w:t>
      </w:r>
      <w:r w:rsidR="0093257E" w:rsidRPr="0033605D">
        <w:rPr>
          <w:rFonts w:ascii="Verdana" w:hAnsi="Verdana"/>
          <w:sz w:val="20"/>
          <w:szCs w:val="20"/>
          <w:lang w:val="es-ES"/>
        </w:rPr>
        <w:t xml:space="preserve">ste caso, la Corte no debía hacer uso del principio </w:t>
      </w:r>
      <w:r w:rsidR="0093257E" w:rsidRPr="0033605D">
        <w:rPr>
          <w:rFonts w:ascii="Verdana" w:hAnsi="Verdana"/>
          <w:i/>
          <w:iCs/>
          <w:sz w:val="20"/>
          <w:szCs w:val="20"/>
          <w:lang w:val="es-ES"/>
        </w:rPr>
        <w:t xml:space="preserve">iura novit </w:t>
      </w:r>
      <w:r w:rsidR="009422D8" w:rsidRPr="0033605D">
        <w:rPr>
          <w:rFonts w:ascii="Verdana" w:hAnsi="Verdana"/>
          <w:i/>
          <w:iCs/>
          <w:sz w:val="20"/>
          <w:szCs w:val="20"/>
          <w:lang w:val="es-ES"/>
        </w:rPr>
        <w:t>curia</w:t>
      </w:r>
      <w:r w:rsidR="009422D8" w:rsidRPr="0033605D">
        <w:rPr>
          <w:rFonts w:ascii="Verdana" w:hAnsi="Verdana"/>
          <w:sz w:val="20"/>
          <w:szCs w:val="20"/>
          <w:lang w:val="es-ES"/>
        </w:rPr>
        <w:t xml:space="preserve">, solo debía analizar las observaciones de la Comisión Interamericana de Derechos Humanos (en adelante “Comisión” o </w:t>
      </w:r>
      <w:r w:rsidR="003A0A7E">
        <w:rPr>
          <w:rFonts w:ascii="Verdana" w:hAnsi="Verdana"/>
          <w:sz w:val="20"/>
          <w:szCs w:val="20"/>
          <w:lang w:val="es-ES"/>
        </w:rPr>
        <w:t>“</w:t>
      </w:r>
      <w:r w:rsidR="009422D8" w:rsidRPr="0033605D">
        <w:rPr>
          <w:rFonts w:ascii="Verdana" w:hAnsi="Verdana"/>
          <w:sz w:val="20"/>
          <w:szCs w:val="20"/>
          <w:lang w:val="es-ES"/>
        </w:rPr>
        <w:t>CIDH</w:t>
      </w:r>
      <w:r w:rsidR="003A0A7E">
        <w:rPr>
          <w:rFonts w:ascii="Verdana" w:hAnsi="Verdana"/>
          <w:sz w:val="20"/>
          <w:szCs w:val="20"/>
          <w:lang w:val="es-ES"/>
        </w:rPr>
        <w:t>”</w:t>
      </w:r>
      <w:r w:rsidR="009422D8" w:rsidRPr="0033605D">
        <w:rPr>
          <w:rFonts w:ascii="Verdana" w:hAnsi="Verdana"/>
          <w:sz w:val="20"/>
          <w:szCs w:val="20"/>
          <w:lang w:val="es-ES"/>
        </w:rPr>
        <w:t xml:space="preserve">) y los alegatos de las víctimas. Así, es inconcebible que en otros casos el Tribunal </w:t>
      </w:r>
      <w:r w:rsidR="00901A3F" w:rsidRPr="0033605D">
        <w:rPr>
          <w:rFonts w:ascii="Verdana" w:hAnsi="Verdana"/>
          <w:sz w:val="20"/>
          <w:szCs w:val="20"/>
          <w:lang w:val="es-ES"/>
        </w:rPr>
        <w:t>analice violaciones de derechos que no han sido alegadas</w:t>
      </w:r>
      <w:r w:rsidR="00211165" w:rsidRPr="0033605D">
        <w:rPr>
          <w:rFonts w:ascii="Verdana" w:hAnsi="Verdana"/>
          <w:sz w:val="20"/>
          <w:szCs w:val="20"/>
          <w:lang w:val="es-ES"/>
        </w:rPr>
        <w:t xml:space="preserve"> y que incluso tienen relación tangencial con los hechos</w:t>
      </w:r>
      <w:r w:rsidR="00211165" w:rsidRPr="0033605D">
        <w:rPr>
          <w:rStyle w:val="Refdenotaalpie"/>
          <w:rFonts w:ascii="Verdana" w:hAnsi="Verdana"/>
          <w:sz w:val="20"/>
          <w:szCs w:val="20"/>
          <w:lang w:val="es-ES"/>
        </w:rPr>
        <w:footnoteReference w:id="5"/>
      </w:r>
      <w:r w:rsidR="00901A3F" w:rsidRPr="0033605D">
        <w:rPr>
          <w:rFonts w:ascii="Verdana" w:hAnsi="Verdana"/>
          <w:sz w:val="20"/>
          <w:szCs w:val="20"/>
          <w:lang w:val="es-ES"/>
        </w:rPr>
        <w:t xml:space="preserve">, pero en este, </w:t>
      </w:r>
      <w:r w:rsidR="00211165" w:rsidRPr="0033605D">
        <w:rPr>
          <w:rFonts w:ascii="Verdana" w:hAnsi="Verdana"/>
          <w:sz w:val="20"/>
          <w:szCs w:val="20"/>
          <w:lang w:val="es-ES"/>
        </w:rPr>
        <w:t>a pesar de tratarse</w:t>
      </w:r>
      <w:r w:rsidR="00901A3F" w:rsidRPr="0033605D">
        <w:rPr>
          <w:rFonts w:ascii="Verdana" w:hAnsi="Verdana"/>
          <w:sz w:val="20"/>
          <w:szCs w:val="20"/>
          <w:lang w:val="es-ES"/>
        </w:rPr>
        <w:t xml:space="preserve"> de derechos de las mujeres que cuestionan estereotipos de género y prácticas violentas y discriminatorias arraigadas en la región, decidan abiertamente </w:t>
      </w:r>
      <w:r w:rsidR="009E082D" w:rsidRPr="0033605D">
        <w:rPr>
          <w:rFonts w:ascii="Verdana" w:hAnsi="Verdana"/>
          <w:sz w:val="20"/>
          <w:szCs w:val="20"/>
          <w:lang w:val="es-ES"/>
        </w:rPr>
        <w:t>edulcorar y modificar la dicción literal de</w:t>
      </w:r>
      <w:r w:rsidR="00901A3F" w:rsidRPr="0033605D">
        <w:rPr>
          <w:rFonts w:ascii="Verdana" w:hAnsi="Verdana"/>
          <w:sz w:val="20"/>
          <w:szCs w:val="20"/>
          <w:lang w:val="es-ES"/>
        </w:rPr>
        <w:t xml:space="preserve"> los argumentos </w:t>
      </w:r>
      <w:r w:rsidR="00943A68" w:rsidRPr="0033605D">
        <w:rPr>
          <w:rFonts w:ascii="Verdana" w:hAnsi="Verdana"/>
          <w:sz w:val="20"/>
          <w:szCs w:val="20"/>
          <w:lang w:val="es-ES"/>
        </w:rPr>
        <w:t xml:space="preserve">expresados por las partes y la Comisión </w:t>
      </w:r>
      <w:r w:rsidR="00901A3F" w:rsidRPr="0033605D">
        <w:rPr>
          <w:rFonts w:ascii="Verdana" w:hAnsi="Verdana"/>
          <w:sz w:val="20"/>
          <w:szCs w:val="20"/>
          <w:lang w:val="es-ES"/>
        </w:rPr>
        <w:t xml:space="preserve">que constituían el corazón del caso concreto. </w:t>
      </w:r>
    </w:p>
    <w:p w14:paraId="48F34024" w14:textId="6A906F97" w:rsidR="00813B2F" w:rsidRPr="0033605D" w:rsidRDefault="002650A0" w:rsidP="00813B2F">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b/>
          <w:bCs/>
          <w:sz w:val="20"/>
          <w:szCs w:val="20"/>
          <w:lang w:val="es-ES"/>
        </w:rPr>
      </w:pPr>
      <w:r w:rsidRPr="0033605D">
        <w:rPr>
          <w:rFonts w:ascii="Verdana" w:hAnsi="Verdana"/>
          <w:sz w:val="20"/>
          <w:szCs w:val="20"/>
          <w:lang w:val="es-ES"/>
        </w:rPr>
        <w:t>C</w:t>
      </w:r>
      <w:r w:rsidR="001D7C44" w:rsidRPr="0033605D">
        <w:rPr>
          <w:rFonts w:ascii="Verdana" w:hAnsi="Verdana"/>
          <w:sz w:val="20"/>
          <w:szCs w:val="20"/>
          <w:lang w:val="es-ES"/>
        </w:rPr>
        <w:t xml:space="preserve">omo fue </w:t>
      </w:r>
      <w:r w:rsidR="003C5339" w:rsidRPr="0033605D">
        <w:rPr>
          <w:rFonts w:ascii="Verdana" w:hAnsi="Verdana"/>
          <w:sz w:val="20"/>
          <w:szCs w:val="20"/>
          <w:lang w:val="es-ES"/>
        </w:rPr>
        <w:t>indicado</w:t>
      </w:r>
      <w:r w:rsidR="001D7C44" w:rsidRPr="0033605D">
        <w:rPr>
          <w:rFonts w:ascii="Verdana" w:hAnsi="Verdana"/>
          <w:sz w:val="20"/>
          <w:szCs w:val="20"/>
          <w:lang w:val="es-ES"/>
        </w:rPr>
        <w:t xml:space="preserve"> por la Comisión</w:t>
      </w:r>
      <w:r w:rsidR="003C5339" w:rsidRPr="0033605D">
        <w:rPr>
          <w:rFonts w:ascii="Verdana" w:hAnsi="Verdana"/>
          <w:sz w:val="20"/>
          <w:szCs w:val="20"/>
          <w:lang w:val="es-ES"/>
        </w:rPr>
        <w:t xml:space="preserve"> en su </w:t>
      </w:r>
      <w:r w:rsidR="003A0A7E">
        <w:rPr>
          <w:rFonts w:ascii="Verdana" w:hAnsi="Verdana"/>
          <w:sz w:val="20"/>
          <w:szCs w:val="20"/>
          <w:lang w:val="es-ES"/>
        </w:rPr>
        <w:t>I</w:t>
      </w:r>
      <w:r w:rsidR="003C5339" w:rsidRPr="0033605D">
        <w:rPr>
          <w:rFonts w:ascii="Verdana" w:hAnsi="Verdana"/>
          <w:sz w:val="20"/>
          <w:szCs w:val="20"/>
          <w:lang w:val="es-ES"/>
        </w:rPr>
        <w:t xml:space="preserve">nforme de </w:t>
      </w:r>
      <w:r w:rsidR="003A0A7E">
        <w:rPr>
          <w:rFonts w:ascii="Verdana" w:hAnsi="Verdana"/>
          <w:sz w:val="20"/>
          <w:szCs w:val="20"/>
          <w:lang w:val="es-ES"/>
        </w:rPr>
        <w:t>F</w:t>
      </w:r>
      <w:r w:rsidR="003C5339" w:rsidRPr="0033605D">
        <w:rPr>
          <w:rFonts w:ascii="Verdana" w:hAnsi="Verdana"/>
          <w:sz w:val="20"/>
          <w:szCs w:val="20"/>
          <w:lang w:val="es-ES"/>
        </w:rPr>
        <w:t>ondo</w:t>
      </w:r>
      <w:r w:rsidR="001D7C44" w:rsidRPr="0033605D">
        <w:rPr>
          <w:rFonts w:ascii="Verdana" w:hAnsi="Verdana"/>
          <w:sz w:val="20"/>
          <w:szCs w:val="20"/>
          <w:lang w:val="es-ES"/>
        </w:rPr>
        <w:t>,</w:t>
      </w:r>
      <w:r w:rsidR="00C31FE4" w:rsidRPr="0033605D">
        <w:rPr>
          <w:rFonts w:ascii="Verdana" w:hAnsi="Verdana"/>
          <w:sz w:val="20"/>
          <w:szCs w:val="20"/>
          <w:lang w:val="es-ES"/>
        </w:rPr>
        <w:t xml:space="preserve"> el caso se relaciona</w:t>
      </w:r>
      <w:r w:rsidR="007330D6" w:rsidRPr="0033605D">
        <w:rPr>
          <w:rFonts w:ascii="Verdana" w:hAnsi="Verdana"/>
          <w:sz w:val="20"/>
          <w:szCs w:val="20"/>
          <w:lang w:val="es-ES"/>
        </w:rPr>
        <w:t>ba</w:t>
      </w:r>
      <w:r w:rsidR="00C31FE4" w:rsidRPr="0033605D">
        <w:rPr>
          <w:rFonts w:ascii="Verdana" w:hAnsi="Verdana"/>
          <w:sz w:val="20"/>
          <w:szCs w:val="20"/>
          <w:lang w:val="es-ES"/>
        </w:rPr>
        <w:t xml:space="preserve"> con “</w:t>
      </w:r>
      <w:r w:rsidR="00C31FE4" w:rsidRPr="0033605D">
        <w:rPr>
          <w:rFonts w:ascii="Verdana" w:hAnsi="Verdana"/>
          <w:sz w:val="20"/>
          <w:szCs w:val="20"/>
        </w:rPr>
        <w:t xml:space="preserve">las violaciones a los derechos de Beatriz y su familia debido a la prohibición absoluta de la interrupción voluntaria del embarazo, la cual impidió que la víctima tuviera la posibilidad de acceder a una interrupción legal, temprana y oportuna, tratándose de una situación de riesgo a la vida y riesgo grave a la salud e integridad personal, y de </w:t>
      </w:r>
      <w:r w:rsidR="0056222E" w:rsidRPr="0033605D">
        <w:rPr>
          <w:rFonts w:ascii="Verdana" w:hAnsi="Verdana"/>
          <w:sz w:val="20"/>
          <w:szCs w:val="20"/>
        </w:rPr>
        <w:t xml:space="preserve">inviabilidad </w:t>
      </w:r>
      <w:r w:rsidR="00C31FE4" w:rsidRPr="0033605D">
        <w:rPr>
          <w:rFonts w:ascii="Verdana" w:hAnsi="Verdana"/>
          <w:sz w:val="20"/>
          <w:szCs w:val="20"/>
        </w:rPr>
        <w:t>del feto con la vida extrauterina</w:t>
      </w:r>
      <w:r w:rsidR="00C31FE4" w:rsidRPr="0033605D">
        <w:rPr>
          <w:rFonts w:ascii="Verdana" w:hAnsi="Verdana"/>
          <w:sz w:val="20"/>
          <w:szCs w:val="20"/>
          <w:lang w:val="es-ES"/>
        </w:rPr>
        <w:t>”</w:t>
      </w:r>
      <w:r w:rsidR="003E7E1D" w:rsidRPr="0033605D">
        <w:rPr>
          <w:rStyle w:val="Refdenotaalpie"/>
          <w:rFonts w:ascii="Verdana" w:hAnsi="Verdana"/>
          <w:sz w:val="20"/>
          <w:szCs w:val="20"/>
          <w:lang w:val="es-ES"/>
        </w:rPr>
        <w:footnoteReference w:id="6"/>
      </w:r>
      <w:r w:rsidR="003E7E1D" w:rsidRPr="0033605D">
        <w:rPr>
          <w:rFonts w:ascii="Verdana" w:hAnsi="Verdana"/>
          <w:sz w:val="20"/>
          <w:szCs w:val="20"/>
          <w:lang w:val="es-ES"/>
        </w:rPr>
        <w:t xml:space="preserve">. </w:t>
      </w:r>
      <w:r w:rsidR="005F547E" w:rsidRPr="0033605D">
        <w:rPr>
          <w:rFonts w:ascii="Verdana" w:hAnsi="Verdana"/>
          <w:sz w:val="20"/>
          <w:szCs w:val="20"/>
          <w:lang w:val="es-ES"/>
        </w:rPr>
        <w:t xml:space="preserve">Así, </w:t>
      </w:r>
      <w:r w:rsidR="006C5183" w:rsidRPr="0033605D">
        <w:rPr>
          <w:rFonts w:ascii="Verdana" w:hAnsi="Verdana"/>
          <w:sz w:val="20"/>
          <w:szCs w:val="20"/>
          <w:lang w:val="es-ES"/>
        </w:rPr>
        <w:t xml:space="preserve">en el </w:t>
      </w:r>
      <w:r w:rsidR="002D17F3" w:rsidRPr="0033605D">
        <w:rPr>
          <w:rFonts w:ascii="Verdana" w:hAnsi="Verdana"/>
          <w:sz w:val="20"/>
          <w:szCs w:val="20"/>
          <w:lang w:val="es-ES"/>
        </w:rPr>
        <w:t>centro</w:t>
      </w:r>
      <w:r w:rsidR="006C5183" w:rsidRPr="0033605D">
        <w:rPr>
          <w:rFonts w:ascii="Verdana" w:hAnsi="Verdana"/>
          <w:sz w:val="20"/>
          <w:szCs w:val="20"/>
          <w:lang w:val="es-ES"/>
        </w:rPr>
        <w:t xml:space="preserve"> de este caso se encontraba una </w:t>
      </w:r>
      <w:r w:rsidR="003717F6" w:rsidRPr="0033605D">
        <w:rPr>
          <w:rFonts w:ascii="Verdana" w:hAnsi="Verdana"/>
          <w:sz w:val="20"/>
          <w:szCs w:val="20"/>
          <w:lang w:val="es-ES"/>
        </w:rPr>
        <w:t>conducta</w:t>
      </w:r>
      <w:r w:rsidR="006C5183" w:rsidRPr="0033605D">
        <w:rPr>
          <w:rFonts w:ascii="Verdana" w:hAnsi="Verdana"/>
          <w:sz w:val="20"/>
          <w:szCs w:val="20"/>
          <w:lang w:val="es-ES"/>
        </w:rPr>
        <w:t xml:space="preserve"> del </w:t>
      </w:r>
      <w:r w:rsidR="0056222E" w:rsidRPr="0033605D">
        <w:rPr>
          <w:rFonts w:ascii="Verdana" w:hAnsi="Verdana"/>
          <w:sz w:val="20"/>
          <w:szCs w:val="20"/>
          <w:lang w:val="es-ES"/>
        </w:rPr>
        <w:t xml:space="preserve">Estado </w:t>
      </w:r>
      <w:r w:rsidR="006C5183" w:rsidRPr="0033605D">
        <w:rPr>
          <w:rFonts w:ascii="Verdana" w:hAnsi="Verdana"/>
          <w:sz w:val="20"/>
          <w:szCs w:val="20"/>
          <w:lang w:val="es-ES"/>
        </w:rPr>
        <w:t>(</w:t>
      </w:r>
      <w:r w:rsidR="006C5183" w:rsidRPr="0033605D">
        <w:rPr>
          <w:rFonts w:ascii="Verdana" w:hAnsi="Verdana"/>
          <w:sz w:val="20"/>
          <w:szCs w:val="20"/>
        </w:rPr>
        <w:t>prohibición absoluta de la interrupción voluntaria del embarazo</w:t>
      </w:r>
      <w:r w:rsidR="006C5183" w:rsidRPr="0033605D">
        <w:rPr>
          <w:rFonts w:ascii="Verdana" w:hAnsi="Verdana"/>
          <w:sz w:val="20"/>
          <w:szCs w:val="20"/>
          <w:lang w:val="es-ES"/>
        </w:rPr>
        <w:t xml:space="preserve">), que </w:t>
      </w:r>
      <w:r w:rsidRPr="0033605D">
        <w:rPr>
          <w:rFonts w:ascii="Verdana" w:hAnsi="Verdana"/>
          <w:sz w:val="20"/>
          <w:szCs w:val="20"/>
          <w:lang w:val="es-ES"/>
        </w:rPr>
        <w:t xml:space="preserve">imposibilitó </w:t>
      </w:r>
      <w:r w:rsidR="006C5183" w:rsidRPr="0033605D">
        <w:rPr>
          <w:rFonts w:ascii="Verdana" w:hAnsi="Verdana"/>
          <w:sz w:val="20"/>
          <w:szCs w:val="20"/>
          <w:lang w:val="es-ES"/>
        </w:rPr>
        <w:t>el ejercicio de la autonomía reproductiva</w:t>
      </w:r>
      <w:r w:rsidR="000A6707" w:rsidRPr="0033605D">
        <w:rPr>
          <w:rFonts w:ascii="Verdana" w:hAnsi="Verdana"/>
          <w:sz w:val="20"/>
          <w:szCs w:val="20"/>
          <w:lang w:val="es-ES"/>
        </w:rPr>
        <w:t xml:space="preserve"> </w:t>
      </w:r>
      <w:r w:rsidR="00C3037E" w:rsidRPr="0033605D">
        <w:rPr>
          <w:rFonts w:ascii="Verdana" w:hAnsi="Verdana"/>
          <w:sz w:val="20"/>
          <w:szCs w:val="20"/>
          <w:lang w:val="es-ES"/>
        </w:rPr>
        <w:t>de Beatriz</w:t>
      </w:r>
      <w:r w:rsidR="006C5183" w:rsidRPr="0033605D">
        <w:rPr>
          <w:rFonts w:ascii="Verdana" w:hAnsi="Verdana"/>
          <w:sz w:val="20"/>
          <w:szCs w:val="20"/>
          <w:lang w:val="es-ES"/>
        </w:rPr>
        <w:t>,</w:t>
      </w:r>
      <w:r w:rsidR="00C3037E" w:rsidRPr="0033605D">
        <w:rPr>
          <w:rFonts w:ascii="Verdana" w:hAnsi="Verdana"/>
          <w:sz w:val="20"/>
          <w:szCs w:val="20"/>
          <w:lang w:val="es-ES"/>
        </w:rPr>
        <w:t xml:space="preserve"> </w:t>
      </w:r>
      <w:r w:rsidR="00CB0320" w:rsidRPr="0033605D">
        <w:rPr>
          <w:rFonts w:ascii="Verdana" w:hAnsi="Verdana"/>
          <w:sz w:val="20"/>
          <w:szCs w:val="20"/>
          <w:lang w:val="es-ES"/>
        </w:rPr>
        <w:t>y</w:t>
      </w:r>
      <w:r w:rsidRPr="0033605D">
        <w:rPr>
          <w:rFonts w:ascii="Verdana" w:hAnsi="Verdana"/>
          <w:sz w:val="20"/>
          <w:szCs w:val="20"/>
          <w:lang w:val="es-ES"/>
        </w:rPr>
        <w:t xml:space="preserve"> le impidió</w:t>
      </w:r>
      <w:r w:rsidR="00AA76B7" w:rsidRPr="0033605D">
        <w:rPr>
          <w:rFonts w:ascii="Verdana" w:hAnsi="Verdana"/>
          <w:sz w:val="20"/>
          <w:szCs w:val="20"/>
          <w:lang w:val="es-ES"/>
        </w:rPr>
        <w:t xml:space="preserve"> </w:t>
      </w:r>
      <w:r w:rsidRPr="0033605D">
        <w:rPr>
          <w:rFonts w:ascii="Verdana" w:hAnsi="Verdana"/>
          <w:sz w:val="20"/>
          <w:szCs w:val="20"/>
          <w:lang w:val="es-ES"/>
        </w:rPr>
        <w:t>recibir</w:t>
      </w:r>
      <w:r w:rsidR="00AA76B7" w:rsidRPr="0033605D">
        <w:rPr>
          <w:rFonts w:ascii="Verdana" w:hAnsi="Verdana"/>
          <w:sz w:val="20"/>
          <w:szCs w:val="20"/>
          <w:lang w:val="es-ES"/>
        </w:rPr>
        <w:t xml:space="preserve"> </w:t>
      </w:r>
      <w:r w:rsidR="00C3037E" w:rsidRPr="0033605D">
        <w:rPr>
          <w:rFonts w:ascii="Verdana" w:hAnsi="Verdana"/>
          <w:sz w:val="20"/>
          <w:szCs w:val="20"/>
          <w:lang w:val="es-ES"/>
        </w:rPr>
        <w:t xml:space="preserve">una adecuada atención </w:t>
      </w:r>
      <w:r w:rsidR="00AA76B7" w:rsidRPr="0033605D">
        <w:rPr>
          <w:rFonts w:ascii="Verdana" w:hAnsi="Verdana"/>
          <w:sz w:val="20"/>
          <w:szCs w:val="20"/>
          <w:lang w:val="es-ES"/>
        </w:rPr>
        <w:t xml:space="preserve">en salud </w:t>
      </w:r>
      <w:r w:rsidR="00C3037E" w:rsidRPr="0033605D">
        <w:rPr>
          <w:rFonts w:ascii="Verdana" w:hAnsi="Verdana"/>
          <w:sz w:val="20"/>
          <w:szCs w:val="20"/>
          <w:lang w:val="es-ES"/>
        </w:rPr>
        <w:t>en su calidad de mujer embarazada</w:t>
      </w:r>
      <w:r w:rsidR="00AA76B7" w:rsidRPr="0033605D">
        <w:rPr>
          <w:rFonts w:ascii="Verdana" w:hAnsi="Verdana"/>
          <w:sz w:val="20"/>
          <w:szCs w:val="20"/>
          <w:lang w:val="es-ES"/>
        </w:rPr>
        <w:t>, lo cual puso en riesgo su vida e integridad personal</w:t>
      </w:r>
      <w:r w:rsidR="003A5691" w:rsidRPr="0033605D">
        <w:rPr>
          <w:rFonts w:ascii="Verdana" w:hAnsi="Verdana"/>
          <w:sz w:val="20"/>
          <w:szCs w:val="20"/>
          <w:lang w:val="es-ES"/>
        </w:rPr>
        <w:t xml:space="preserve"> y constituyó un acto de discriminación</w:t>
      </w:r>
      <w:r w:rsidR="0043549E" w:rsidRPr="0033605D">
        <w:rPr>
          <w:rFonts w:ascii="Verdana" w:hAnsi="Verdana"/>
          <w:sz w:val="20"/>
          <w:szCs w:val="20"/>
          <w:lang w:val="es-ES"/>
        </w:rPr>
        <w:t xml:space="preserve"> y de violencia contra la mujer</w:t>
      </w:r>
      <w:r w:rsidR="00AA76B7" w:rsidRPr="0033605D">
        <w:rPr>
          <w:rFonts w:ascii="Verdana" w:hAnsi="Verdana"/>
          <w:sz w:val="20"/>
          <w:szCs w:val="20"/>
          <w:lang w:val="es-ES"/>
        </w:rPr>
        <w:t xml:space="preserve">. </w:t>
      </w:r>
    </w:p>
    <w:p w14:paraId="3BB1C24D" w14:textId="7C29CEE8" w:rsidR="00813B2F" w:rsidRPr="0033605D" w:rsidRDefault="000406AB" w:rsidP="00813B2F">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b/>
          <w:bCs/>
          <w:sz w:val="20"/>
          <w:szCs w:val="20"/>
          <w:lang w:val="es-ES"/>
        </w:rPr>
      </w:pPr>
      <w:r w:rsidRPr="0033605D">
        <w:rPr>
          <w:rFonts w:ascii="Verdana" w:hAnsi="Verdana"/>
          <w:sz w:val="20"/>
          <w:szCs w:val="20"/>
        </w:rPr>
        <w:t>En efecto, de los elementos de prueba del caso se concluye que, Beatriz era una mujer joven diagnosticada con lupus eritematoso sistémico, nefropatía lúpica y artritis reumatoidea, que en la época de los hechos vivía en situación de pobreza. En 2011 Beatriz tuvo su primer embarazo, el cual fue considerado de alto riesgo por sus enfermedades de base</w:t>
      </w:r>
      <w:r w:rsidR="00C53353" w:rsidRPr="0033605D">
        <w:rPr>
          <w:rFonts w:ascii="Verdana" w:hAnsi="Verdana"/>
          <w:sz w:val="20"/>
          <w:szCs w:val="20"/>
        </w:rPr>
        <w:t xml:space="preserve"> y </w:t>
      </w:r>
      <w:r w:rsidRPr="0033605D">
        <w:rPr>
          <w:rFonts w:ascii="Verdana" w:hAnsi="Verdana"/>
          <w:sz w:val="20"/>
          <w:szCs w:val="20"/>
        </w:rPr>
        <w:t>se complicó en el parto por preeclamsia severa. Su hijo nació prematuro en marzo de 2012 y fue diagnosticado con síndrome de dificultad respiratoria aguda y enterocolitis necrotizante. En el año 2013 Beatriz tuvo un segundo embarazo</w:t>
      </w:r>
      <w:r w:rsidR="00C53353" w:rsidRPr="0033605D">
        <w:rPr>
          <w:rFonts w:ascii="Verdana" w:hAnsi="Verdana"/>
          <w:sz w:val="20"/>
          <w:szCs w:val="20"/>
        </w:rPr>
        <w:t xml:space="preserve">, considerado de alto riesgo por sus enfermedades de base, los antecedentes de su primer embarazo y parto, y el diagnóstico de </w:t>
      </w:r>
      <w:r w:rsidRPr="0033605D">
        <w:rPr>
          <w:rFonts w:ascii="Verdana" w:hAnsi="Verdana"/>
          <w:sz w:val="20"/>
          <w:szCs w:val="20"/>
        </w:rPr>
        <w:t>feto</w:t>
      </w:r>
      <w:r w:rsidR="00C53353" w:rsidRPr="0033605D">
        <w:rPr>
          <w:rFonts w:ascii="Verdana" w:hAnsi="Verdana"/>
          <w:sz w:val="20"/>
          <w:szCs w:val="20"/>
        </w:rPr>
        <w:t xml:space="preserve"> </w:t>
      </w:r>
      <w:r w:rsidRPr="0033605D">
        <w:rPr>
          <w:rFonts w:ascii="Verdana" w:hAnsi="Verdana"/>
          <w:sz w:val="20"/>
          <w:szCs w:val="20"/>
        </w:rPr>
        <w:t>con anencefalia.</w:t>
      </w:r>
      <w:r w:rsidR="006D6A52" w:rsidRPr="0033605D">
        <w:rPr>
          <w:rFonts w:ascii="Verdana" w:hAnsi="Verdana"/>
          <w:sz w:val="20"/>
          <w:szCs w:val="20"/>
        </w:rPr>
        <w:t xml:space="preserve"> Además, es incuestionable que la vida extrauterina del feto producto de este segundo embarazo era inviable. </w:t>
      </w:r>
    </w:p>
    <w:p w14:paraId="28AF28A5" w14:textId="4215DC02" w:rsidR="00813B2F" w:rsidRPr="0033605D" w:rsidRDefault="000406AB" w:rsidP="00813B2F">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b/>
          <w:bCs/>
          <w:sz w:val="20"/>
          <w:szCs w:val="20"/>
          <w:lang w:val="es-ES"/>
        </w:rPr>
      </w:pPr>
      <w:r w:rsidRPr="0033605D">
        <w:rPr>
          <w:rFonts w:ascii="Verdana" w:hAnsi="Verdana"/>
          <w:sz w:val="20"/>
          <w:szCs w:val="20"/>
        </w:rPr>
        <w:t xml:space="preserve">Beatriz </w:t>
      </w:r>
      <w:r w:rsidR="00C53353" w:rsidRPr="0033605D">
        <w:rPr>
          <w:rFonts w:ascii="Verdana" w:hAnsi="Verdana"/>
          <w:sz w:val="20"/>
          <w:szCs w:val="20"/>
        </w:rPr>
        <w:t>acudió al</w:t>
      </w:r>
      <w:r w:rsidRPr="0033605D">
        <w:rPr>
          <w:rFonts w:ascii="Verdana" w:hAnsi="Verdana"/>
          <w:sz w:val="20"/>
          <w:szCs w:val="20"/>
        </w:rPr>
        <w:t xml:space="preserve"> Hospital Nacional </w:t>
      </w:r>
      <w:r w:rsidR="00C53353" w:rsidRPr="0033605D">
        <w:rPr>
          <w:rFonts w:ascii="Verdana" w:hAnsi="Verdana"/>
          <w:sz w:val="20"/>
          <w:szCs w:val="20"/>
        </w:rPr>
        <w:t xml:space="preserve">de </w:t>
      </w:r>
      <w:r w:rsidRPr="0033605D">
        <w:rPr>
          <w:rFonts w:ascii="Verdana" w:hAnsi="Verdana"/>
          <w:sz w:val="20"/>
          <w:szCs w:val="20"/>
        </w:rPr>
        <w:t>Maternidad</w:t>
      </w:r>
      <w:r w:rsidR="005F16BE">
        <w:rPr>
          <w:rFonts w:ascii="Verdana" w:hAnsi="Verdana"/>
          <w:sz w:val="20"/>
          <w:szCs w:val="20"/>
        </w:rPr>
        <w:t xml:space="preserve"> “Dr. Raúl Argüello Escolán” (en adelante también “Hospital Nacional de Maternidad”)</w:t>
      </w:r>
      <w:r w:rsidR="00C53353" w:rsidRPr="0033605D">
        <w:rPr>
          <w:rFonts w:ascii="Verdana" w:hAnsi="Verdana"/>
          <w:sz w:val="20"/>
          <w:szCs w:val="20"/>
        </w:rPr>
        <w:t xml:space="preserve"> para recibir atención en salud</w:t>
      </w:r>
      <w:r w:rsidR="007330D6" w:rsidRPr="0033605D">
        <w:rPr>
          <w:rFonts w:ascii="Verdana" w:hAnsi="Verdana"/>
          <w:sz w:val="20"/>
          <w:szCs w:val="20"/>
        </w:rPr>
        <w:t xml:space="preserve"> y </w:t>
      </w:r>
      <w:r w:rsidR="00C53353" w:rsidRPr="0033605D">
        <w:rPr>
          <w:rFonts w:ascii="Verdana" w:hAnsi="Verdana"/>
          <w:sz w:val="20"/>
          <w:szCs w:val="20"/>
        </w:rPr>
        <w:t>su caso fue analizado por el Comité Médico en tres oportunidades. Los médicos coincidían en la necesidad de interrumpir el embarazo para resguardar la vida e integridad de Beatriz</w:t>
      </w:r>
      <w:r w:rsidR="00813B2F" w:rsidRPr="0033605D">
        <w:rPr>
          <w:rFonts w:ascii="Verdana" w:hAnsi="Verdana"/>
          <w:sz w:val="20"/>
          <w:szCs w:val="20"/>
        </w:rPr>
        <w:t xml:space="preserve">. Ella también había manifestado su voluntad de terminar anticipadamente el embarazo para proteger su vida y </w:t>
      </w:r>
      <w:r w:rsidR="007330D6" w:rsidRPr="0033605D">
        <w:rPr>
          <w:rFonts w:ascii="Verdana" w:hAnsi="Verdana"/>
          <w:sz w:val="20"/>
          <w:szCs w:val="20"/>
        </w:rPr>
        <w:t xml:space="preserve">considerando la inviabilidad de la vida extrauterina </w:t>
      </w:r>
      <w:r w:rsidR="007330D6" w:rsidRPr="0033605D">
        <w:rPr>
          <w:rFonts w:ascii="Verdana" w:hAnsi="Verdana"/>
          <w:sz w:val="20"/>
          <w:szCs w:val="20"/>
        </w:rPr>
        <w:lastRenderedPageBreak/>
        <w:t>del feto y su responsabilidad como madre de un bebé de poco más de un año</w:t>
      </w:r>
      <w:r w:rsidR="00813B2F" w:rsidRPr="0033605D">
        <w:rPr>
          <w:rFonts w:ascii="Verdana" w:hAnsi="Verdana"/>
          <w:sz w:val="20"/>
          <w:szCs w:val="20"/>
        </w:rPr>
        <w:t>. S</w:t>
      </w:r>
      <w:r w:rsidR="00C53353" w:rsidRPr="0033605D">
        <w:rPr>
          <w:rFonts w:ascii="Verdana" w:hAnsi="Verdana"/>
          <w:sz w:val="20"/>
          <w:szCs w:val="20"/>
        </w:rPr>
        <w:t xml:space="preserve">in </w:t>
      </w:r>
      <w:r w:rsidR="00813B2F" w:rsidRPr="0033605D">
        <w:rPr>
          <w:rFonts w:ascii="Verdana" w:hAnsi="Verdana"/>
          <w:sz w:val="20"/>
          <w:szCs w:val="20"/>
        </w:rPr>
        <w:t>embargo,</w:t>
      </w:r>
      <w:r w:rsidR="00C53353" w:rsidRPr="0033605D">
        <w:rPr>
          <w:rFonts w:ascii="Verdana" w:hAnsi="Verdana"/>
          <w:sz w:val="20"/>
          <w:szCs w:val="20"/>
        </w:rPr>
        <w:t xml:space="preserve"> el tratamiento</w:t>
      </w:r>
      <w:r w:rsidR="00813B2F" w:rsidRPr="0033605D">
        <w:rPr>
          <w:rFonts w:ascii="Verdana" w:hAnsi="Verdana"/>
          <w:sz w:val="20"/>
          <w:szCs w:val="20"/>
        </w:rPr>
        <w:t xml:space="preserve"> no se realizó</w:t>
      </w:r>
      <w:r w:rsidR="00C53353" w:rsidRPr="0033605D">
        <w:rPr>
          <w:rFonts w:ascii="Verdana" w:hAnsi="Verdana"/>
          <w:sz w:val="20"/>
          <w:szCs w:val="20"/>
        </w:rPr>
        <w:t xml:space="preserve"> por las implicaciones legales que </w:t>
      </w:r>
      <w:r w:rsidR="00813B2F" w:rsidRPr="0033605D">
        <w:rPr>
          <w:rFonts w:ascii="Verdana" w:hAnsi="Verdana"/>
          <w:sz w:val="20"/>
          <w:szCs w:val="20"/>
        </w:rPr>
        <w:t xml:space="preserve">suponía para los profesionales de la salud debido a la criminalización </w:t>
      </w:r>
      <w:r w:rsidR="00AA2620" w:rsidRPr="0033605D">
        <w:rPr>
          <w:rFonts w:ascii="Verdana" w:hAnsi="Verdana"/>
          <w:sz w:val="20"/>
          <w:szCs w:val="20"/>
        </w:rPr>
        <w:t>de la interrupción voluntaria del embarazo a través del tipo de aborto</w:t>
      </w:r>
      <w:r w:rsidR="00813B2F" w:rsidRPr="0033605D">
        <w:rPr>
          <w:rFonts w:ascii="Verdana" w:hAnsi="Verdana"/>
          <w:sz w:val="20"/>
          <w:szCs w:val="20"/>
        </w:rPr>
        <w:t xml:space="preserve"> en El Salvador. Tanto los médicos como Beatriz acudieron a las autoridades por la vía administrativa y judicial para solicitar la autorización del tratamiento, no obstante, ni la Procuraduría General de la República, ni el Ministerio de Salud, ni la Sala de lo Constitucional emitieron una decisión </w:t>
      </w:r>
      <w:r w:rsidR="007330D6" w:rsidRPr="0033605D">
        <w:rPr>
          <w:rFonts w:ascii="Verdana" w:hAnsi="Verdana"/>
          <w:sz w:val="20"/>
          <w:szCs w:val="20"/>
        </w:rPr>
        <w:t xml:space="preserve">que </w:t>
      </w:r>
      <w:r w:rsidR="00813B2F" w:rsidRPr="0033605D">
        <w:rPr>
          <w:rFonts w:ascii="Verdana" w:hAnsi="Verdana"/>
          <w:sz w:val="20"/>
          <w:szCs w:val="20"/>
        </w:rPr>
        <w:t xml:space="preserve">protegiera los derechos de Beatriz. </w:t>
      </w:r>
    </w:p>
    <w:p w14:paraId="3B1B85B7" w14:textId="2FACF0E3" w:rsidR="00E85FC4" w:rsidRPr="0033605D" w:rsidRDefault="007330D6"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b/>
          <w:bCs/>
          <w:sz w:val="20"/>
          <w:szCs w:val="20"/>
          <w:lang w:val="es-ES"/>
        </w:rPr>
      </w:pPr>
      <w:r w:rsidRPr="0033605D">
        <w:rPr>
          <w:rFonts w:ascii="Verdana" w:hAnsi="Verdana"/>
          <w:sz w:val="20"/>
          <w:szCs w:val="20"/>
          <w:lang w:val="es-ES"/>
        </w:rPr>
        <w:t>Tomando en cuenta</w:t>
      </w:r>
      <w:r w:rsidR="002D17F3" w:rsidRPr="0033605D">
        <w:rPr>
          <w:rFonts w:ascii="Verdana" w:hAnsi="Verdana"/>
          <w:sz w:val="20"/>
          <w:szCs w:val="20"/>
          <w:lang w:val="es-ES"/>
        </w:rPr>
        <w:t xml:space="preserve"> lo anterior</w:t>
      </w:r>
      <w:r w:rsidR="000A784E" w:rsidRPr="0033605D">
        <w:rPr>
          <w:rFonts w:ascii="Verdana" w:hAnsi="Verdana"/>
          <w:sz w:val="20"/>
          <w:szCs w:val="20"/>
          <w:lang w:val="es-ES"/>
        </w:rPr>
        <w:t xml:space="preserve">, </w:t>
      </w:r>
      <w:r w:rsidR="002D17F3" w:rsidRPr="0033605D">
        <w:rPr>
          <w:rFonts w:ascii="Verdana" w:hAnsi="Verdana"/>
          <w:sz w:val="20"/>
          <w:szCs w:val="20"/>
          <w:lang w:val="es-ES"/>
        </w:rPr>
        <w:t>en este apartado haré</w:t>
      </w:r>
      <w:r w:rsidR="000A784E" w:rsidRPr="0033605D">
        <w:rPr>
          <w:rFonts w:ascii="Verdana" w:hAnsi="Verdana"/>
          <w:sz w:val="20"/>
          <w:szCs w:val="20"/>
          <w:lang w:val="es-ES"/>
        </w:rPr>
        <w:t xml:space="preserve"> una reconstrucción de la jurisprudencia de la Corte sobre </w:t>
      </w:r>
      <w:r w:rsidR="00450FFF" w:rsidRPr="0033605D">
        <w:rPr>
          <w:rFonts w:ascii="Verdana" w:hAnsi="Verdana"/>
          <w:sz w:val="20"/>
          <w:szCs w:val="20"/>
          <w:lang w:val="es-ES"/>
        </w:rPr>
        <w:t xml:space="preserve">derechos sexuales y reproductivos, </w:t>
      </w:r>
      <w:r w:rsidR="00B34201" w:rsidRPr="0033605D">
        <w:rPr>
          <w:rFonts w:ascii="Verdana" w:hAnsi="Verdana"/>
          <w:sz w:val="20"/>
          <w:szCs w:val="20"/>
          <w:lang w:val="es-ES"/>
        </w:rPr>
        <w:t>y señalar</w:t>
      </w:r>
      <w:r w:rsidRPr="0033605D">
        <w:rPr>
          <w:rFonts w:ascii="Verdana" w:hAnsi="Verdana"/>
          <w:sz w:val="20"/>
          <w:szCs w:val="20"/>
          <w:lang w:val="es-ES"/>
        </w:rPr>
        <w:t>é</w:t>
      </w:r>
      <w:r w:rsidR="00B34201" w:rsidRPr="0033605D">
        <w:rPr>
          <w:rFonts w:ascii="Verdana" w:hAnsi="Verdana"/>
          <w:sz w:val="20"/>
          <w:szCs w:val="20"/>
          <w:lang w:val="es-ES"/>
        </w:rPr>
        <w:t xml:space="preserve"> cada uno de los aspectos </w:t>
      </w:r>
      <w:r w:rsidR="00492D5C" w:rsidRPr="0033605D">
        <w:rPr>
          <w:rFonts w:ascii="Verdana" w:hAnsi="Verdana"/>
          <w:sz w:val="20"/>
          <w:szCs w:val="20"/>
          <w:lang w:val="es-ES"/>
        </w:rPr>
        <w:t>que,</w:t>
      </w:r>
      <w:r w:rsidR="00B34201" w:rsidRPr="0033605D">
        <w:rPr>
          <w:rFonts w:ascii="Verdana" w:hAnsi="Verdana"/>
          <w:sz w:val="20"/>
          <w:szCs w:val="20"/>
          <w:lang w:val="es-ES"/>
        </w:rPr>
        <w:t xml:space="preserve"> a pesar de ser parte del precedente de esta Corte</w:t>
      </w:r>
      <w:r w:rsidR="006D6379" w:rsidRPr="0033605D">
        <w:rPr>
          <w:rFonts w:ascii="Verdana" w:hAnsi="Verdana"/>
          <w:sz w:val="20"/>
          <w:szCs w:val="20"/>
          <w:lang w:val="es-ES"/>
        </w:rPr>
        <w:t>,</w:t>
      </w:r>
      <w:r w:rsidR="00B34201" w:rsidRPr="0033605D">
        <w:rPr>
          <w:rFonts w:ascii="Verdana" w:hAnsi="Verdana"/>
          <w:sz w:val="20"/>
          <w:szCs w:val="20"/>
          <w:lang w:val="es-ES"/>
        </w:rPr>
        <w:t xml:space="preserve"> </w:t>
      </w:r>
      <w:r w:rsidR="002D17F3" w:rsidRPr="0033605D">
        <w:rPr>
          <w:rFonts w:ascii="Verdana" w:hAnsi="Verdana"/>
          <w:sz w:val="20"/>
          <w:szCs w:val="20"/>
          <w:lang w:val="es-ES"/>
        </w:rPr>
        <w:t>en la sentencia fueron ignorados</w:t>
      </w:r>
      <w:r w:rsidR="00D0664A" w:rsidRPr="0033605D">
        <w:rPr>
          <w:rFonts w:ascii="Verdana" w:hAnsi="Verdana"/>
          <w:sz w:val="20"/>
          <w:szCs w:val="20"/>
          <w:lang w:val="es-ES"/>
        </w:rPr>
        <w:t xml:space="preserve"> </w:t>
      </w:r>
      <w:r w:rsidR="00943A68" w:rsidRPr="0033605D">
        <w:rPr>
          <w:rFonts w:ascii="Verdana" w:hAnsi="Verdana"/>
          <w:sz w:val="20"/>
          <w:szCs w:val="20"/>
          <w:lang w:val="es-ES"/>
        </w:rPr>
        <w:t xml:space="preserve">de manera grosera </w:t>
      </w:r>
      <w:r w:rsidR="00A83870" w:rsidRPr="0033605D">
        <w:rPr>
          <w:rFonts w:ascii="Verdana" w:hAnsi="Verdana"/>
          <w:sz w:val="20"/>
          <w:szCs w:val="20"/>
          <w:lang w:val="es-ES"/>
        </w:rPr>
        <w:t>en detrimento de la protección de los derechos de Beatriz</w:t>
      </w:r>
      <w:r w:rsidR="00562B92" w:rsidRPr="0033605D">
        <w:rPr>
          <w:rFonts w:ascii="Verdana" w:hAnsi="Verdana"/>
          <w:sz w:val="20"/>
          <w:szCs w:val="20"/>
          <w:lang w:val="es-ES"/>
        </w:rPr>
        <w:t xml:space="preserve">. </w:t>
      </w:r>
    </w:p>
    <w:p w14:paraId="55C6FC30" w14:textId="2476F5F0" w:rsidR="002E348C" w:rsidRPr="0033605D" w:rsidRDefault="002E348C" w:rsidP="00DA5555">
      <w:pPr>
        <w:pStyle w:val="Ttulo2"/>
      </w:pPr>
      <w:r w:rsidRPr="0033605D">
        <w:t xml:space="preserve">La jurisprudencia </w:t>
      </w:r>
      <w:r w:rsidR="006D6A52" w:rsidRPr="0033605D">
        <w:t xml:space="preserve">de la Corte IDH </w:t>
      </w:r>
      <w:r w:rsidRPr="0033605D">
        <w:t xml:space="preserve">sobre derechos sexuales y reproductivos </w:t>
      </w:r>
    </w:p>
    <w:p w14:paraId="72E56BC2" w14:textId="7F694185" w:rsidR="00691800" w:rsidRPr="0033605D" w:rsidRDefault="00A83870"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una primera fase de la jurisprudencia, la Corte se refirió a los derechos sexuales y reproductivos haciendo énfasis en </w:t>
      </w:r>
      <w:r w:rsidR="00EF7192" w:rsidRPr="0033605D">
        <w:rPr>
          <w:rFonts w:ascii="Verdana" w:hAnsi="Verdana"/>
          <w:sz w:val="20"/>
          <w:szCs w:val="20"/>
          <w:lang w:val="es-ES"/>
        </w:rPr>
        <w:t>la a</w:t>
      </w:r>
      <w:r w:rsidR="00400610" w:rsidRPr="0033605D">
        <w:rPr>
          <w:rFonts w:ascii="Verdana" w:hAnsi="Verdana"/>
          <w:sz w:val="20"/>
          <w:szCs w:val="20"/>
          <w:lang w:val="es-ES"/>
        </w:rPr>
        <w:t>utonomía</w:t>
      </w:r>
      <w:r w:rsidR="00EF7192" w:rsidRPr="0033605D">
        <w:rPr>
          <w:rFonts w:ascii="Verdana" w:hAnsi="Verdana"/>
          <w:sz w:val="20"/>
          <w:szCs w:val="20"/>
          <w:lang w:val="es-ES"/>
        </w:rPr>
        <w:t xml:space="preserve"> individual. Así, en el </w:t>
      </w:r>
      <w:r w:rsidR="00EF7192" w:rsidRPr="0033605D">
        <w:rPr>
          <w:rFonts w:ascii="Verdana" w:hAnsi="Verdana"/>
          <w:i/>
          <w:iCs/>
          <w:sz w:val="20"/>
          <w:szCs w:val="20"/>
          <w:lang w:val="es-ES"/>
        </w:rPr>
        <w:t xml:space="preserve">caso Artavia Murillo </w:t>
      </w:r>
      <w:r w:rsidR="0056222E" w:rsidRPr="0033605D">
        <w:rPr>
          <w:rFonts w:ascii="Verdana" w:hAnsi="Verdana"/>
          <w:i/>
          <w:iCs/>
          <w:sz w:val="20"/>
          <w:szCs w:val="20"/>
          <w:lang w:val="es-ES"/>
        </w:rPr>
        <w:t>V</w:t>
      </w:r>
      <w:r w:rsidR="00EF7192" w:rsidRPr="0033605D">
        <w:rPr>
          <w:rFonts w:ascii="Verdana" w:hAnsi="Verdana"/>
          <w:i/>
          <w:iCs/>
          <w:sz w:val="20"/>
          <w:szCs w:val="20"/>
          <w:lang w:val="es-ES"/>
        </w:rPr>
        <w:t>s. Costa Rica</w:t>
      </w:r>
      <w:r w:rsidR="001871CE" w:rsidRPr="0033605D">
        <w:rPr>
          <w:rFonts w:ascii="Verdana" w:hAnsi="Verdana"/>
          <w:sz w:val="20"/>
          <w:szCs w:val="20"/>
          <w:lang w:val="es-ES"/>
        </w:rPr>
        <w:t xml:space="preserve"> relativo a la prohibición de la </w:t>
      </w:r>
      <w:r w:rsidR="00B620B4" w:rsidRPr="0033605D">
        <w:rPr>
          <w:rFonts w:ascii="Verdana" w:hAnsi="Verdana"/>
          <w:sz w:val="20"/>
          <w:szCs w:val="20"/>
          <w:lang w:val="es-ES"/>
        </w:rPr>
        <w:t xml:space="preserve">fertilización </w:t>
      </w:r>
      <w:r w:rsidR="00B620B4" w:rsidRPr="0033605D">
        <w:rPr>
          <w:rFonts w:ascii="Verdana" w:hAnsi="Verdana"/>
          <w:i/>
          <w:iCs/>
          <w:sz w:val="20"/>
          <w:szCs w:val="20"/>
          <w:lang w:val="es-ES"/>
        </w:rPr>
        <w:t>in vitro</w:t>
      </w:r>
      <w:r w:rsidR="00EF7192" w:rsidRPr="0033605D">
        <w:rPr>
          <w:rFonts w:ascii="Verdana" w:hAnsi="Verdana"/>
          <w:sz w:val="20"/>
          <w:szCs w:val="20"/>
          <w:lang w:val="es-ES"/>
        </w:rPr>
        <w:t>, la Corte señaló que</w:t>
      </w:r>
      <w:r w:rsidR="00400610" w:rsidRPr="0033605D">
        <w:rPr>
          <w:rFonts w:ascii="Verdana" w:hAnsi="Verdana"/>
          <w:sz w:val="20"/>
          <w:szCs w:val="20"/>
          <w:lang w:val="es-ES"/>
        </w:rPr>
        <w:t xml:space="preserve"> </w:t>
      </w:r>
      <w:r w:rsidR="00FA65A9" w:rsidRPr="0033605D">
        <w:rPr>
          <w:rFonts w:ascii="Verdana" w:hAnsi="Verdana"/>
          <w:sz w:val="20"/>
          <w:szCs w:val="20"/>
          <w:lang w:val="es-ES"/>
        </w:rPr>
        <w:t>l</w:t>
      </w:r>
      <w:r w:rsidR="009109D8" w:rsidRPr="0033605D">
        <w:rPr>
          <w:rFonts w:ascii="Verdana" w:hAnsi="Verdana"/>
          <w:sz w:val="20"/>
          <w:szCs w:val="20"/>
          <w:lang w:val="es-ES"/>
        </w:rPr>
        <w:t>os</w:t>
      </w:r>
      <w:r w:rsidR="00FA65A9" w:rsidRPr="0033605D">
        <w:rPr>
          <w:rFonts w:ascii="Verdana" w:hAnsi="Verdana"/>
          <w:sz w:val="20"/>
          <w:szCs w:val="20"/>
          <w:lang w:val="es-ES"/>
        </w:rPr>
        <w:t xml:space="preserve"> </w:t>
      </w:r>
      <w:r w:rsidR="009109D8" w:rsidRPr="0033605D">
        <w:rPr>
          <w:rFonts w:ascii="Verdana" w:hAnsi="Verdana"/>
          <w:sz w:val="20"/>
          <w:szCs w:val="20"/>
          <w:lang w:val="es-ES"/>
        </w:rPr>
        <w:t xml:space="preserve">artículos 7 y 11 </w:t>
      </w:r>
      <w:r w:rsidR="00DC12C0" w:rsidRPr="0033605D">
        <w:rPr>
          <w:rFonts w:ascii="Verdana" w:hAnsi="Verdana"/>
          <w:sz w:val="20"/>
          <w:szCs w:val="20"/>
          <w:lang w:val="es-ES"/>
        </w:rPr>
        <w:t xml:space="preserve">de la </w:t>
      </w:r>
      <w:r w:rsidR="00FA65A9" w:rsidRPr="0033605D">
        <w:rPr>
          <w:rFonts w:ascii="Verdana" w:hAnsi="Verdana"/>
          <w:sz w:val="20"/>
          <w:szCs w:val="20"/>
          <w:lang w:val="es-ES"/>
        </w:rPr>
        <w:t>Convención protege</w:t>
      </w:r>
      <w:r w:rsidR="00DC12C0" w:rsidRPr="0033605D">
        <w:rPr>
          <w:rFonts w:ascii="Verdana" w:hAnsi="Verdana"/>
          <w:sz w:val="20"/>
          <w:szCs w:val="20"/>
          <w:lang w:val="es-ES"/>
        </w:rPr>
        <w:t>n</w:t>
      </w:r>
      <w:r w:rsidR="00FA65A9" w:rsidRPr="0033605D">
        <w:rPr>
          <w:rFonts w:ascii="Verdana" w:hAnsi="Verdana"/>
          <w:sz w:val="20"/>
          <w:szCs w:val="20"/>
          <w:lang w:val="es-ES"/>
        </w:rPr>
        <w:t xml:space="preserve"> la posibilidad de todo ser humano de </w:t>
      </w:r>
      <w:r w:rsidR="006D6A52" w:rsidRPr="0033605D">
        <w:rPr>
          <w:rFonts w:ascii="Verdana" w:hAnsi="Verdana"/>
          <w:sz w:val="20"/>
          <w:szCs w:val="20"/>
          <w:lang w:val="es-ES"/>
        </w:rPr>
        <w:t>autodeterminarse</w:t>
      </w:r>
      <w:r w:rsidR="00DC12C0" w:rsidRPr="0033605D">
        <w:rPr>
          <w:rFonts w:ascii="Verdana" w:hAnsi="Verdana"/>
          <w:sz w:val="20"/>
          <w:szCs w:val="20"/>
          <w:lang w:val="es-ES"/>
        </w:rPr>
        <w:t xml:space="preserve">, </w:t>
      </w:r>
      <w:r w:rsidR="00FA65A9" w:rsidRPr="0033605D">
        <w:rPr>
          <w:rFonts w:ascii="Verdana" w:hAnsi="Verdana"/>
          <w:sz w:val="20"/>
          <w:szCs w:val="20"/>
          <w:lang w:val="es-ES"/>
        </w:rPr>
        <w:t>escoger libremente las opciones que le dan sentido a su existencia</w:t>
      </w:r>
      <w:r w:rsidR="00DC12C0" w:rsidRPr="0033605D">
        <w:rPr>
          <w:rFonts w:ascii="Verdana" w:hAnsi="Verdana"/>
          <w:sz w:val="20"/>
          <w:szCs w:val="20"/>
          <w:lang w:val="es-ES"/>
        </w:rPr>
        <w:t xml:space="preserve"> y </w:t>
      </w:r>
      <w:r w:rsidR="00965DF5" w:rsidRPr="0033605D">
        <w:rPr>
          <w:rFonts w:ascii="Verdana" w:hAnsi="Verdana"/>
          <w:sz w:val="20"/>
          <w:szCs w:val="20"/>
          <w:lang w:val="es-ES"/>
        </w:rPr>
        <w:t>la forma en que quiere proyectarse y relacionarse con los demás</w:t>
      </w:r>
      <w:r w:rsidR="00FA65A9" w:rsidRPr="0033605D">
        <w:rPr>
          <w:rFonts w:ascii="Verdana" w:hAnsi="Verdana"/>
          <w:sz w:val="20"/>
          <w:szCs w:val="20"/>
          <w:lang w:val="es-ES"/>
        </w:rPr>
        <w:t>, conforme a sus propias opciones y convicciones</w:t>
      </w:r>
      <w:r w:rsidR="00FA65A9" w:rsidRPr="0033605D">
        <w:rPr>
          <w:rStyle w:val="Refdenotaalpie"/>
          <w:rFonts w:ascii="Verdana" w:hAnsi="Verdana"/>
          <w:sz w:val="20"/>
          <w:szCs w:val="20"/>
          <w:lang w:val="es-ES"/>
        </w:rPr>
        <w:footnoteReference w:id="7"/>
      </w:r>
      <w:r w:rsidR="00DE525D" w:rsidRPr="0033605D">
        <w:rPr>
          <w:rFonts w:ascii="Verdana" w:hAnsi="Verdana"/>
          <w:sz w:val="20"/>
          <w:szCs w:val="20"/>
          <w:lang w:val="es-ES"/>
        </w:rPr>
        <w:t>.</w:t>
      </w:r>
      <w:r w:rsidR="000C6D8C" w:rsidRPr="0033605D">
        <w:rPr>
          <w:rFonts w:ascii="Verdana" w:hAnsi="Verdana"/>
          <w:sz w:val="20"/>
          <w:szCs w:val="20"/>
          <w:lang w:val="es-ES"/>
        </w:rPr>
        <w:t xml:space="preserve"> </w:t>
      </w:r>
      <w:r w:rsidR="00972679" w:rsidRPr="0033605D">
        <w:rPr>
          <w:rFonts w:ascii="Verdana" w:hAnsi="Verdana"/>
          <w:sz w:val="20"/>
          <w:szCs w:val="20"/>
          <w:lang w:val="es-ES"/>
        </w:rPr>
        <w:t xml:space="preserve">En este sentido, </w:t>
      </w:r>
      <w:r w:rsidR="00F530BC" w:rsidRPr="0033605D">
        <w:rPr>
          <w:rFonts w:ascii="Verdana" w:hAnsi="Verdana"/>
          <w:sz w:val="20"/>
          <w:szCs w:val="20"/>
          <w:lang w:val="es-ES"/>
        </w:rPr>
        <w:t xml:space="preserve">el Tribunal afirmó que </w:t>
      </w:r>
      <w:r w:rsidR="001C0E67" w:rsidRPr="0033605D">
        <w:rPr>
          <w:rFonts w:ascii="Verdana" w:hAnsi="Verdana"/>
          <w:sz w:val="20"/>
          <w:szCs w:val="20"/>
          <w:lang w:val="es-ES"/>
        </w:rPr>
        <w:t>la decisión de ser o no madre o padre</w:t>
      </w:r>
      <w:r w:rsidR="001871CE" w:rsidRPr="0033605D">
        <w:rPr>
          <w:rFonts w:ascii="Verdana" w:hAnsi="Verdana"/>
          <w:sz w:val="20"/>
          <w:szCs w:val="20"/>
          <w:lang w:val="es-ES"/>
        </w:rPr>
        <w:t xml:space="preserve"> (autonomía reproductiva) </w:t>
      </w:r>
      <w:r w:rsidR="0073375E" w:rsidRPr="0033605D">
        <w:rPr>
          <w:rFonts w:ascii="Verdana" w:hAnsi="Verdana"/>
          <w:sz w:val="20"/>
          <w:szCs w:val="20"/>
          <w:lang w:val="es-ES"/>
        </w:rPr>
        <w:t xml:space="preserve">se encuentra </w:t>
      </w:r>
      <w:r w:rsidR="0056222E" w:rsidRPr="0033605D">
        <w:rPr>
          <w:rFonts w:ascii="Verdana" w:hAnsi="Verdana"/>
          <w:sz w:val="20"/>
          <w:szCs w:val="20"/>
          <w:lang w:val="es-ES"/>
        </w:rPr>
        <w:t xml:space="preserve">protegida </w:t>
      </w:r>
      <w:r w:rsidR="0073375E" w:rsidRPr="0033605D">
        <w:rPr>
          <w:rFonts w:ascii="Verdana" w:hAnsi="Verdana"/>
          <w:sz w:val="20"/>
          <w:szCs w:val="20"/>
          <w:lang w:val="es-ES"/>
        </w:rPr>
        <w:t>por el</w:t>
      </w:r>
      <w:r w:rsidR="001C0E67" w:rsidRPr="0033605D">
        <w:rPr>
          <w:rFonts w:ascii="Verdana" w:hAnsi="Verdana"/>
          <w:sz w:val="20"/>
          <w:szCs w:val="20"/>
          <w:lang w:val="es-ES"/>
        </w:rPr>
        <w:t xml:space="preserve"> derecho a la vida privada</w:t>
      </w:r>
      <w:r w:rsidR="006B444D" w:rsidRPr="0033605D">
        <w:rPr>
          <w:rFonts w:ascii="Verdana" w:hAnsi="Verdana"/>
          <w:sz w:val="20"/>
          <w:szCs w:val="20"/>
          <w:lang w:val="es-ES"/>
        </w:rPr>
        <w:t xml:space="preserve"> y por el derecho a la lib</w:t>
      </w:r>
      <w:r w:rsidR="00972679" w:rsidRPr="0033605D">
        <w:rPr>
          <w:rFonts w:ascii="Verdana" w:hAnsi="Verdana"/>
          <w:sz w:val="20"/>
          <w:szCs w:val="20"/>
          <w:lang w:val="es-ES"/>
        </w:rPr>
        <w:t>ertad</w:t>
      </w:r>
      <w:r w:rsidR="00E438A6" w:rsidRPr="0033605D">
        <w:rPr>
          <w:rFonts w:ascii="Verdana" w:hAnsi="Verdana"/>
          <w:sz w:val="20"/>
          <w:szCs w:val="20"/>
          <w:lang w:val="es-ES"/>
        </w:rPr>
        <w:t xml:space="preserve"> personal</w:t>
      </w:r>
      <w:r w:rsidR="001C0E67" w:rsidRPr="0033605D">
        <w:rPr>
          <w:rFonts w:ascii="Verdana" w:hAnsi="Verdana"/>
          <w:sz w:val="20"/>
          <w:szCs w:val="20"/>
          <w:vertAlign w:val="superscript"/>
          <w:lang w:val="es-ES"/>
        </w:rPr>
        <w:footnoteReference w:id="8"/>
      </w:r>
      <w:r w:rsidR="00B620B4" w:rsidRPr="0033605D">
        <w:rPr>
          <w:rFonts w:ascii="Verdana" w:hAnsi="Verdana"/>
          <w:sz w:val="20"/>
          <w:szCs w:val="20"/>
          <w:lang w:val="es-ES"/>
        </w:rPr>
        <w:t>. C</w:t>
      </w:r>
      <w:r w:rsidR="0073375E" w:rsidRPr="0033605D">
        <w:rPr>
          <w:rFonts w:ascii="Verdana" w:hAnsi="Verdana"/>
          <w:sz w:val="20"/>
          <w:szCs w:val="20"/>
          <w:lang w:val="es-ES"/>
        </w:rPr>
        <w:t>omo consecuencia</w:t>
      </w:r>
      <w:r w:rsidR="00B620B4" w:rsidRPr="0033605D">
        <w:rPr>
          <w:rFonts w:ascii="Verdana" w:hAnsi="Verdana"/>
          <w:sz w:val="20"/>
          <w:szCs w:val="20"/>
          <w:lang w:val="es-ES"/>
        </w:rPr>
        <w:t xml:space="preserve"> sostuvo que</w:t>
      </w:r>
      <w:r w:rsidR="0073375E" w:rsidRPr="0033605D">
        <w:rPr>
          <w:rFonts w:ascii="Verdana" w:hAnsi="Verdana"/>
          <w:sz w:val="20"/>
          <w:szCs w:val="20"/>
          <w:lang w:val="es-ES"/>
        </w:rPr>
        <w:t>, en el marco de la Convención</w:t>
      </w:r>
      <w:r w:rsidR="00C15FEB" w:rsidRPr="0033605D">
        <w:rPr>
          <w:rFonts w:ascii="Verdana" w:hAnsi="Verdana"/>
          <w:sz w:val="20"/>
          <w:szCs w:val="20"/>
          <w:lang w:val="es-ES"/>
        </w:rPr>
        <w:t xml:space="preserve"> </w:t>
      </w:r>
      <w:r w:rsidR="0073375E" w:rsidRPr="0033605D">
        <w:rPr>
          <w:rFonts w:ascii="Verdana" w:hAnsi="Verdana"/>
          <w:sz w:val="20"/>
          <w:szCs w:val="20"/>
          <w:lang w:val="es-ES"/>
        </w:rPr>
        <w:t xml:space="preserve">las personas tienen derecho </w:t>
      </w:r>
      <w:r w:rsidR="001C0E67" w:rsidRPr="0033605D">
        <w:rPr>
          <w:rFonts w:ascii="Verdana" w:hAnsi="Verdana"/>
          <w:sz w:val="20"/>
          <w:szCs w:val="20"/>
          <w:lang w:val="es-ES"/>
        </w:rPr>
        <w:t>“a decidir libre y responsablemente el número de sus hijos y el intervalo entre los nacimientos y a tener acceso a la información, la educación y los medios que les permitan ejercer estos derechos</w:t>
      </w:r>
      <w:r w:rsidR="004F77AB" w:rsidRPr="0033605D">
        <w:rPr>
          <w:rFonts w:ascii="Verdana" w:hAnsi="Verdana"/>
          <w:sz w:val="20"/>
          <w:szCs w:val="20"/>
          <w:lang w:val="es-ES"/>
        </w:rPr>
        <w:t>”</w:t>
      </w:r>
      <w:r w:rsidR="001C0E67" w:rsidRPr="0033605D">
        <w:rPr>
          <w:rFonts w:ascii="Verdana" w:hAnsi="Verdana"/>
          <w:sz w:val="20"/>
          <w:szCs w:val="20"/>
          <w:vertAlign w:val="superscript"/>
          <w:lang w:val="es-ES"/>
        </w:rPr>
        <w:footnoteReference w:id="9"/>
      </w:r>
      <w:r w:rsidR="00FE031D" w:rsidRPr="0033605D">
        <w:rPr>
          <w:rFonts w:ascii="Verdana" w:hAnsi="Verdana"/>
          <w:sz w:val="20"/>
          <w:szCs w:val="20"/>
          <w:lang w:val="es-ES"/>
        </w:rPr>
        <w:t xml:space="preserve">. Además, el Tribunal reconoció que </w:t>
      </w:r>
      <w:r w:rsidR="0084403C" w:rsidRPr="0033605D">
        <w:rPr>
          <w:rFonts w:ascii="Verdana" w:hAnsi="Verdana"/>
          <w:sz w:val="20"/>
          <w:szCs w:val="20"/>
          <w:lang w:val="es-ES"/>
        </w:rPr>
        <w:t>el derecho a l</w:t>
      </w:r>
      <w:r w:rsidR="001C0E67" w:rsidRPr="0033605D">
        <w:rPr>
          <w:rFonts w:ascii="Verdana" w:hAnsi="Verdana"/>
          <w:sz w:val="20"/>
          <w:szCs w:val="20"/>
          <w:lang w:val="es-ES"/>
        </w:rPr>
        <w:t xml:space="preserve">a autonomía </w:t>
      </w:r>
      <w:r w:rsidR="00B04CFC" w:rsidRPr="0033605D">
        <w:rPr>
          <w:rFonts w:ascii="Verdana" w:hAnsi="Verdana"/>
          <w:sz w:val="20"/>
          <w:szCs w:val="20"/>
          <w:lang w:val="es-ES"/>
        </w:rPr>
        <w:t>reproductiva</w:t>
      </w:r>
      <w:r w:rsidR="001C0E67" w:rsidRPr="0033605D">
        <w:rPr>
          <w:rFonts w:ascii="Verdana" w:hAnsi="Verdana"/>
          <w:sz w:val="20"/>
          <w:szCs w:val="20"/>
          <w:lang w:val="es-ES"/>
        </w:rPr>
        <w:t xml:space="preserve"> </w:t>
      </w:r>
      <w:r w:rsidR="00F1096C" w:rsidRPr="0033605D">
        <w:rPr>
          <w:rFonts w:ascii="Verdana" w:hAnsi="Verdana"/>
          <w:sz w:val="20"/>
          <w:szCs w:val="20"/>
          <w:lang w:val="es-ES"/>
        </w:rPr>
        <w:t>contiene</w:t>
      </w:r>
      <w:r w:rsidR="001C0E67" w:rsidRPr="0033605D">
        <w:rPr>
          <w:rFonts w:ascii="Verdana" w:hAnsi="Verdana"/>
          <w:sz w:val="20"/>
          <w:szCs w:val="20"/>
          <w:lang w:val="es-ES"/>
        </w:rPr>
        <w:t xml:space="preserve"> el acceso a servicios de salud reproductiva</w:t>
      </w:r>
      <w:r w:rsidR="001C0E67" w:rsidRPr="0033605D">
        <w:rPr>
          <w:rFonts w:ascii="Verdana" w:hAnsi="Verdana"/>
          <w:sz w:val="20"/>
          <w:szCs w:val="20"/>
          <w:vertAlign w:val="superscript"/>
          <w:lang w:val="es-ES"/>
        </w:rPr>
        <w:footnoteReference w:id="10"/>
      </w:r>
      <w:r w:rsidR="003076C6" w:rsidRPr="0033605D">
        <w:rPr>
          <w:rFonts w:ascii="Verdana" w:hAnsi="Verdana"/>
          <w:sz w:val="20"/>
          <w:szCs w:val="20"/>
          <w:lang w:val="es-ES"/>
        </w:rPr>
        <w:t>,</w:t>
      </w:r>
      <w:r w:rsidR="00F1096C" w:rsidRPr="0033605D">
        <w:rPr>
          <w:rFonts w:ascii="Verdana" w:hAnsi="Verdana"/>
          <w:sz w:val="20"/>
          <w:szCs w:val="20"/>
          <w:lang w:val="es-ES"/>
        </w:rPr>
        <w:t xml:space="preserve"> entendido como </w:t>
      </w:r>
      <w:r w:rsidR="008618D2" w:rsidRPr="0033605D">
        <w:rPr>
          <w:rFonts w:ascii="Verdana" w:hAnsi="Verdana"/>
          <w:sz w:val="20"/>
          <w:szCs w:val="20"/>
          <w:lang w:val="es-ES"/>
        </w:rPr>
        <w:t>“[…]</w:t>
      </w:r>
      <w:r w:rsidR="00860A99" w:rsidRPr="0033605D">
        <w:rPr>
          <w:rFonts w:ascii="Verdana" w:hAnsi="Verdana"/>
          <w:sz w:val="20"/>
          <w:szCs w:val="20"/>
          <w:lang w:val="es-ES"/>
        </w:rPr>
        <w:t xml:space="preserve"> el derecho del hombre y la mujer a obtener información y de planificación de la familia de su elección, así como a otros métodos para la regulación de la fecundidad que no estén legalmente prohibidos, y acceso a métodos seguros, eficaces, asequibles y aceptables, el derecho a recibir servicios adecuados de atención de la salud que permitan los embarazos y los partos sin riesgos y den a las parejas</w:t>
      </w:r>
      <w:r w:rsidR="008618D2" w:rsidRPr="0033605D">
        <w:rPr>
          <w:rFonts w:ascii="Verdana" w:hAnsi="Verdana"/>
          <w:sz w:val="20"/>
          <w:szCs w:val="20"/>
          <w:lang w:val="es-ES"/>
        </w:rPr>
        <w:t xml:space="preserve"> </w:t>
      </w:r>
      <w:r w:rsidR="00860A99" w:rsidRPr="0033605D">
        <w:rPr>
          <w:rFonts w:ascii="Verdana" w:hAnsi="Verdana"/>
          <w:sz w:val="20"/>
          <w:szCs w:val="20"/>
          <w:lang w:val="es-ES"/>
        </w:rPr>
        <w:t>las máximas posibilidades de tener hijos sanos”</w:t>
      </w:r>
      <w:r w:rsidR="008618D2" w:rsidRPr="0033605D">
        <w:rPr>
          <w:rStyle w:val="Refdenotaalpie"/>
          <w:rFonts w:ascii="Verdana" w:hAnsi="Verdana"/>
          <w:sz w:val="20"/>
          <w:szCs w:val="20"/>
          <w:lang w:val="es-ES"/>
        </w:rPr>
        <w:footnoteReference w:id="11"/>
      </w:r>
      <w:r w:rsidR="00D8521F" w:rsidRPr="0033605D">
        <w:rPr>
          <w:rFonts w:ascii="Verdana" w:hAnsi="Verdana"/>
          <w:sz w:val="20"/>
          <w:szCs w:val="20"/>
          <w:lang w:val="es-ES"/>
        </w:rPr>
        <w:t xml:space="preserve">. </w:t>
      </w:r>
    </w:p>
    <w:p w14:paraId="127C7439" w14:textId="7D6C94EE" w:rsidR="007E5FCE" w:rsidRPr="0033605D" w:rsidRDefault="00FD77C5"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lastRenderedPageBreak/>
        <w:t>Esta posición fue desarrollada más ampliamente</w:t>
      </w:r>
      <w:r w:rsidR="00A737DC" w:rsidRPr="0033605D">
        <w:rPr>
          <w:rFonts w:ascii="Verdana" w:hAnsi="Verdana"/>
          <w:sz w:val="20"/>
          <w:szCs w:val="20"/>
          <w:lang w:val="es-ES"/>
        </w:rPr>
        <w:t xml:space="preserve">, en el </w:t>
      </w:r>
      <w:r w:rsidR="00A737DC" w:rsidRPr="0033605D">
        <w:rPr>
          <w:rFonts w:ascii="Verdana" w:hAnsi="Verdana"/>
          <w:i/>
          <w:iCs/>
          <w:sz w:val="20"/>
          <w:szCs w:val="20"/>
          <w:lang w:val="es-ES"/>
        </w:rPr>
        <w:t xml:space="preserve">caso </w:t>
      </w:r>
      <w:r w:rsidR="007D2DCE" w:rsidRPr="0033605D">
        <w:rPr>
          <w:rFonts w:ascii="Verdana" w:hAnsi="Verdana"/>
          <w:i/>
          <w:iCs/>
          <w:sz w:val="20"/>
          <w:szCs w:val="20"/>
          <w:lang w:val="es-ES"/>
        </w:rPr>
        <w:t xml:space="preserve">I.V. </w:t>
      </w:r>
      <w:r w:rsidR="00CC57D7" w:rsidRPr="0033605D">
        <w:rPr>
          <w:rFonts w:ascii="Verdana" w:hAnsi="Verdana"/>
          <w:i/>
          <w:iCs/>
          <w:sz w:val="20"/>
          <w:szCs w:val="20"/>
          <w:lang w:val="es-ES"/>
        </w:rPr>
        <w:t>Vs</w:t>
      </w:r>
      <w:r w:rsidR="007D2DCE" w:rsidRPr="0033605D">
        <w:rPr>
          <w:rFonts w:ascii="Verdana" w:hAnsi="Verdana"/>
          <w:i/>
          <w:iCs/>
          <w:sz w:val="20"/>
          <w:szCs w:val="20"/>
          <w:lang w:val="es-ES"/>
        </w:rPr>
        <w:t>. Bolivi</w:t>
      </w:r>
      <w:r w:rsidR="00020ED9" w:rsidRPr="0033605D">
        <w:rPr>
          <w:rFonts w:ascii="Verdana" w:hAnsi="Verdana"/>
          <w:i/>
          <w:iCs/>
          <w:sz w:val="20"/>
          <w:szCs w:val="20"/>
          <w:lang w:val="es-ES"/>
        </w:rPr>
        <w:t>a</w:t>
      </w:r>
      <w:r w:rsidR="00020ED9" w:rsidRPr="0033605D">
        <w:rPr>
          <w:rFonts w:ascii="Verdana" w:hAnsi="Verdana"/>
          <w:sz w:val="20"/>
          <w:szCs w:val="20"/>
          <w:lang w:val="es-ES"/>
        </w:rPr>
        <w:t>,</w:t>
      </w:r>
      <w:r w:rsidR="007D2DCE" w:rsidRPr="0033605D">
        <w:rPr>
          <w:rFonts w:ascii="Verdana" w:hAnsi="Verdana"/>
          <w:sz w:val="20"/>
          <w:szCs w:val="20"/>
          <w:lang w:val="es-ES"/>
        </w:rPr>
        <w:t xml:space="preserve"> relativo a la esterilización no consentida de una mujer en el contexto de un parto</w:t>
      </w:r>
      <w:r w:rsidR="00714ED8" w:rsidRPr="0033605D">
        <w:rPr>
          <w:rFonts w:ascii="Verdana" w:hAnsi="Verdana"/>
          <w:sz w:val="20"/>
          <w:szCs w:val="20"/>
          <w:lang w:val="es-ES"/>
        </w:rPr>
        <w:t>. En esta oportunidad</w:t>
      </w:r>
      <w:r w:rsidR="007E5FCE" w:rsidRPr="0033605D">
        <w:rPr>
          <w:rFonts w:ascii="Verdana" w:hAnsi="Verdana"/>
          <w:sz w:val="20"/>
          <w:szCs w:val="20"/>
          <w:lang w:val="es-ES"/>
        </w:rPr>
        <w:t>,</w:t>
      </w:r>
      <w:r w:rsidR="00714ED8" w:rsidRPr="0033605D">
        <w:rPr>
          <w:rFonts w:ascii="Verdana" w:hAnsi="Verdana"/>
          <w:sz w:val="20"/>
          <w:szCs w:val="20"/>
          <w:lang w:val="es-ES"/>
        </w:rPr>
        <w:t xml:space="preserve"> la Corte </w:t>
      </w:r>
      <w:r w:rsidR="00BC5E63" w:rsidRPr="0033605D">
        <w:rPr>
          <w:rFonts w:ascii="Verdana" w:hAnsi="Verdana"/>
          <w:sz w:val="20"/>
          <w:szCs w:val="20"/>
          <w:lang w:val="es-ES"/>
        </w:rPr>
        <w:t>afirmó que</w:t>
      </w:r>
      <w:r w:rsidR="00093B7F" w:rsidRPr="0033605D">
        <w:rPr>
          <w:rFonts w:ascii="Verdana" w:hAnsi="Verdana"/>
          <w:sz w:val="20"/>
          <w:szCs w:val="20"/>
          <w:lang w:val="es-ES"/>
        </w:rPr>
        <w:t xml:space="preserve"> el consentimiento informado es un requisito </w:t>
      </w:r>
      <w:r w:rsidR="00093B7F" w:rsidRPr="0033605D">
        <w:rPr>
          <w:rFonts w:ascii="Verdana" w:hAnsi="Verdana"/>
          <w:i/>
          <w:iCs/>
          <w:sz w:val="20"/>
          <w:szCs w:val="20"/>
          <w:lang w:val="es-ES"/>
        </w:rPr>
        <w:t>sine qua non</w:t>
      </w:r>
      <w:r w:rsidR="00093B7F" w:rsidRPr="0033605D">
        <w:rPr>
          <w:rFonts w:ascii="Verdana" w:hAnsi="Verdana"/>
          <w:sz w:val="20"/>
          <w:szCs w:val="20"/>
          <w:lang w:val="es-ES"/>
        </w:rPr>
        <w:t xml:space="preserve"> para la práctica médica</w:t>
      </w:r>
      <w:r w:rsidR="00EC0C7B" w:rsidRPr="0033605D">
        <w:rPr>
          <w:rFonts w:ascii="Verdana" w:hAnsi="Verdana"/>
          <w:sz w:val="20"/>
          <w:szCs w:val="20"/>
          <w:lang w:val="es-ES"/>
        </w:rPr>
        <w:t>, especialmente en materia de salud sexual y reproductiva</w:t>
      </w:r>
      <w:r w:rsidR="00E50A73" w:rsidRPr="0033605D">
        <w:rPr>
          <w:rFonts w:ascii="Verdana" w:hAnsi="Verdana"/>
          <w:sz w:val="20"/>
          <w:szCs w:val="20"/>
          <w:lang w:val="es-ES"/>
        </w:rPr>
        <w:t xml:space="preserve"> de mujeres</w:t>
      </w:r>
      <w:r w:rsidR="00EC0C7B" w:rsidRPr="0033605D">
        <w:rPr>
          <w:rStyle w:val="Refdenotaalpie"/>
          <w:rFonts w:ascii="Verdana" w:hAnsi="Verdana"/>
          <w:sz w:val="20"/>
          <w:szCs w:val="20"/>
          <w:lang w:val="es-ES"/>
        </w:rPr>
        <w:footnoteReference w:id="12"/>
      </w:r>
      <w:r w:rsidR="00EC0C7B" w:rsidRPr="0033605D">
        <w:rPr>
          <w:rFonts w:ascii="Verdana" w:hAnsi="Verdana"/>
          <w:sz w:val="20"/>
          <w:szCs w:val="20"/>
          <w:lang w:val="es-ES"/>
        </w:rPr>
        <w:t>. Para llegar a esta conclusión, advirtió que</w:t>
      </w:r>
      <w:r w:rsidR="00EF386D" w:rsidRPr="0033605D">
        <w:rPr>
          <w:rFonts w:ascii="Verdana" w:hAnsi="Verdana"/>
          <w:sz w:val="20"/>
          <w:szCs w:val="20"/>
          <w:lang w:val="es-ES"/>
        </w:rPr>
        <w:t xml:space="preserve"> los artículos 7 y </w:t>
      </w:r>
      <w:r w:rsidR="007A0C0F" w:rsidRPr="0033605D">
        <w:rPr>
          <w:rFonts w:ascii="Verdana" w:hAnsi="Verdana"/>
          <w:sz w:val="20"/>
          <w:szCs w:val="20"/>
          <w:lang w:val="es-ES"/>
        </w:rPr>
        <w:t xml:space="preserve">11 </w:t>
      </w:r>
      <w:r w:rsidR="00F530BC" w:rsidRPr="0033605D">
        <w:rPr>
          <w:rFonts w:ascii="Verdana" w:hAnsi="Verdana"/>
          <w:sz w:val="20"/>
          <w:szCs w:val="20"/>
          <w:lang w:val="es-ES"/>
        </w:rPr>
        <w:t xml:space="preserve">de la CADH </w:t>
      </w:r>
      <w:r w:rsidR="007A0C0F" w:rsidRPr="0033605D">
        <w:rPr>
          <w:rFonts w:ascii="Verdana" w:hAnsi="Verdana"/>
          <w:sz w:val="20"/>
          <w:szCs w:val="20"/>
          <w:lang w:val="es-ES"/>
        </w:rPr>
        <w:t xml:space="preserve">reconocen el principio de </w:t>
      </w:r>
      <w:r w:rsidR="007E5FCE" w:rsidRPr="0033605D">
        <w:rPr>
          <w:rFonts w:ascii="Verdana" w:hAnsi="Verdana"/>
          <w:sz w:val="20"/>
          <w:szCs w:val="20"/>
          <w:lang w:val="es-ES"/>
        </w:rPr>
        <w:t>dignidad</w:t>
      </w:r>
      <w:r w:rsidR="007A0C0F" w:rsidRPr="0033605D">
        <w:rPr>
          <w:rFonts w:ascii="Verdana" w:hAnsi="Verdana"/>
          <w:sz w:val="20"/>
          <w:szCs w:val="20"/>
          <w:lang w:val="es-ES"/>
        </w:rPr>
        <w:t xml:space="preserve"> humana</w:t>
      </w:r>
      <w:r w:rsidR="007E5FCE" w:rsidRPr="0033605D">
        <w:rPr>
          <w:rFonts w:ascii="Verdana" w:hAnsi="Verdana"/>
          <w:sz w:val="20"/>
          <w:szCs w:val="20"/>
          <w:lang w:val="es-ES"/>
        </w:rPr>
        <w:t xml:space="preserve"> </w:t>
      </w:r>
      <w:r w:rsidR="00F037FE" w:rsidRPr="0033605D">
        <w:rPr>
          <w:rFonts w:ascii="Verdana" w:hAnsi="Verdana"/>
          <w:sz w:val="20"/>
          <w:szCs w:val="20"/>
          <w:lang w:val="es-ES"/>
        </w:rPr>
        <w:t>y el de autonomía de la persona, en virtud de los cuales</w:t>
      </w:r>
      <w:r w:rsidR="00031039" w:rsidRPr="0033605D">
        <w:rPr>
          <w:rFonts w:ascii="Verdana" w:hAnsi="Verdana"/>
          <w:sz w:val="20"/>
          <w:szCs w:val="20"/>
          <w:lang w:val="es-ES"/>
        </w:rPr>
        <w:t xml:space="preserve"> se encuentra prohibida toda actuación que convierta </w:t>
      </w:r>
      <w:r w:rsidR="00227DEB" w:rsidRPr="0033605D">
        <w:rPr>
          <w:rFonts w:ascii="Verdana" w:hAnsi="Verdana"/>
          <w:sz w:val="20"/>
          <w:szCs w:val="20"/>
          <w:lang w:val="es-ES"/>
        </w:rPr>
        <w:t xml:space="preserve">al individuo </w:t>
      </w:r>
      <w:r w:rsidR="00031039" w:rsidRPr="0033605D">
        <w:rPr>
          <w:rFonts w:ascii="Verdana" w:hAnsi="Verdana"/>
          <w:sz w:val="20"/>
          <w:szCs w:val="20"/>
          <w:lang w:val="es-ES"/>
        </w:rPr>
        <w:t>en un medio para fines ajenos a las elecciones sobre su propia vida, su cuerpo y el desarrollo pleno de su personalidad</w:t>
      </w:r>
      <w:r w:rsidR="00D51FA7" w:rsidRPr="0033605D">
        <w:rPr>
          <w:rStyle w:val="Refdenotaalpie"/>
          <w:rFonts w:ascii="Verdana" w:hAnsi="Verdana"/>
          <w:sz w:val="20"/>
          <w:szCs w:val="20"/>
          <w:lang w:val="es-ES"/>
        </w:rPr>
        <w:footnoteReference w:id="13"/>
      </w:r>
      <w:r w:rsidR="00D51FA7" w:rsidRPr="0033605D">
        <w:rPr>
          <w:rFonts w:ascii="Verdana" w:hAnsi="Verdana"/>
          <w:sz w:val="20"/>
          <w:szCs w:val="20"/>
          <w:lang w:val="es-ES"/>
        </w:rPr>
        <w:t>.</w:t>
      </w:r>
      <w:r w:rsidR="00CC68B5" w:rsidRPr="0033605D">
        <w:rPr>
          <w:rFonts w:ascii="Verdana" w:hAnsi="Verdana"/>
          <w:sz w:val="20"/>
          <w:szCs w:val="20"/>
          <w:lang w:val="es-ES"/>
        </w:rPr>
        <w:t xml:space="preserve"> Además, </w:t>
      </w:r>
      <w:r w:rsidR="00BC78C1" w:rsidRPr="0033605D">
        <w:rPr>
          <w:rFonts w:ascii="Verdana" w:hAnsi="Verdana"/>
          <w:sz w:val="20"/>
          <w:szCs w:val="20"/>
          <w:lang w:val="es-ES"/>
        </w:rPr>
        <w:t xml:space="preserve">la Corte indicó que el derecho a la salud, como parte integrante del derecho a la integridad personal </w:t>
      </w:r>
      <w:r w:rsidR="008728FE" w:rsidRPr="0033605D">
        <w:rPr>
          <w:rFonts w:ascii="Verdana" w:hAnsi="Verdana"/>
          <w:sz w:val="20"/>
          <w:szCs w:val="20"/>
          <w:lang w:val="es-ES"/>
        </w:rPr>
        <w:t>abarca “la libertad de cada individuo de controlar su salud y su cuerpo y el derecho a no padecer injerencias</w:t>
      </w:r>
      <w:r w:rsidR="00246995" w:rsidRPr="0033605D">
        <w:rPr>
          <w:rFonts w:ascii="Verdana" w:hAnsi="Verdana"/>
          <w:sz w:val="20"/>
          <w:szCs w:val="20"/>
          <w:lang w:val="es-ES"/>
        </w:rPr>
        <w:t xml:space="preserve"> […]</w:t>
      </w:r>
      <w:r w:rsidR="008728FE" w:rsidRPr="0033605D">
        <w:rPr>
          <w:rFonts w:ascii="Verdana" w:hAnsi="Verdana"/>
          <w:sz w:val="20"/>
          <w:szCs w:val="20"/>
          <w:lang w:val="es-ES"/>
        </w:rPr>
        <w:t>”</w:t>
      </w:r>
      <w:r w:rsidR="008728FE" w:rsidRPr="0033605D">
        <w:rPr>
          <w:rStyle w:val="Refdenotaalpie"/>
          <w:rFonts w:ascii="Verdana" w:hAnsi="Verdana"/>
          <w:sz w:val="20"/>
          <w:szCs w:val="20"/>
          <w:lang w:val="es-ES"/>
        </w:rPr>
        <w:footnoteReference w:id="14"/>
      </w:r>
      <w:r w:rsidR="008728FE" w:rsidRPr="0033605D">
        <w:rPr>
          <w:rFonts w:ascii="Verdana" w:hAnsi="Verdana"/>
          <w:sz w:val="20"/>
          <w:szCs w:val="20"/>
          <w:lang w:val="es-ES"/>
        </w:rPr>
        <w:t>.</w:t>
      </w:r>
      <w:r w:rsidR="00572609" w:rsidRPr="0033605D">
        <w:rPr>
          <w:rFonts w:ascii="Verdana" w:hAnsi="Verdana"/>
          <w:sz w:val="20"/>
          <w:szCs w:val="20"/>
          <w:lang w:val="es-ES"/>
        </w:rPr>
        <w:t xml:space="preserve"> </w:t>
      </w:r>
      <w:r w:rsidR="00164D65" w:rsidRPr="0033605D">
        <w:rPr>
          <w:rFonts w:ascii="Verdana" w:hAnsi="Verdana"/>
          <w:sz w:val="20"/>
          <w:szCs w:val="20"/>
          <w:lang w:val="es-ES"/>
        </w:rPr>
        <w:t>Finalmente</w:t>
      </w:r>
      <w:r w:rsidR="00246995" w:rsidRPr="0033605D">
        <w:rPr>
          <w:rFonts w:ascii="Verdana" w:hAnsi="Verdana"/>
          <w:sz w:val="20"/>
          <w:szCs w:val="20"/>
          <w:lang w:val="es-ES"/>
        </w:rPr>
        <w:t xml:space="preserve">, el Tribunal </w:t>
      </w:r>
      <w:r w:rsidR="00164D65" w:rsidRPr="0033605D">
        <w:rPr>
          <w:rFonts w:ascii="Verdana" w:hAnsi="Verdana"/>
          <w:sz w:val="20"/>
          <w:szCs w:val="20"/>
          <w:lang w:val="es-ES"/>
        </w:rPr>
        <w:t>sostuvo que el artículo 13 reconoce el derecho a buscar y recibir informa</w:t>
      </w:r>
      <w:r w:rsidR="002047E4" w:rsidRPr="0033605D">
        <w:rPr>
          <w:rFonts w:ascii="Verdana" w:hAnsi="Verdana"/>
          <w:sz w:val="20"/>
          <w:szCs w:val="20"/>
          <w:lang w:val="es-ES"/>
        </w:rPr>
        <w:t>ción</w:t>
      </w:r>
      <w:r w:rsidR="00164D65" w:rsidRPr="0033605D">
        <w:rPr>
          <w:rFonts w:ascii="Verdana" w:hAnsi="Verdana"/>
          <w:sz w:val="20"/>
          <w:szCs w:val="20"/>
          <w:lang w:val="es-ES"/>
        </w:rPr>
        <w:t xml:space="preserve"> de toda índole</w:t>
      </w:r>
      <w:r w:rsidR="00ED50B8" w:rsidRPr="0033605D">
        <w:rPr>
          <w:rFonts w:ascii="Verdana" w:hAnsi="Verdana"/>
          <w:sz w:val="20"/>
          <w:szCs w:val="20"/>
          <w:lang w:val="es-ES"/>
        </w:rPr>
        <w:t xml:space="preserve">, lo cual </w:t>
      </w:r>
      <w:r w:rsidR="002047E4" w:rsidRPr="0033605D">
        <w:rPr>
          <w:rFonts w:ascii="Verdana" w:hAnsi="Verdana"/>
          <w:sz w:val="20"/>
          <w:szCs w:val="20"/>
          <w:lang w:val="es-ES"/>
        </w:rPr>
        <w:t>impone</w:t>
      </w:r>
      <w:r w:rsidR="00246995" w:rsidRPr="0033605D">
        <w:rPr>
          <w:rFonts w:ascii="Verdana" w:hAnsi="Verdana"/>
          <w:sz w:val="20"/>
          <w:szCs w:val="20"/>
          <w:lang w:val="es-ES"/>
        </w:rPr>
        <w:t>, en materia de salud,</w:t>
      </w:r>
      <w:r w:rsidR="002047E4" w:rsidRPr="0033605D">
        <w:rPr>
          <w:rFonts w:ascii="Verdana" w:hAnsi="Verdana"/>
          <w:sz w:val="20"/>
          <w:szCs w:val="20"/>
          <w:lang w:val="es-ES"/>
        </w:rPr>
        <w:t xml:space="preserve"> un deber de transparencia activo</w:t>
      </w:r>
      <w:r w:rsidR="002047E4" w:rsidRPr="0033605D">
        <w:rPr>
          <w:rStyle w:val="Refdenotaalpie"/>
          <w:rFonts w:ascii="Verdana" w:hAnsi="Verdana"/>
          <w:sz w:val="20"/>
          <w:szCs w:val="20"/>
          <w:lang w:val="es-ES"/>
        </w:rPr>
        <w:footnoteReference w:id="15"/>
      </w:r>
      <w:r w:rsidR="002047E4" w:rsidRPr="0033605D">
        <w:rPr>
          <w:rFonts w:ascii="Verdana" w:hAnsi="Verdana"/>
          <w:sz w:val="20"/>
          <w:szCs w:val="20"/>
          <w:lang w:val="es-ES"/>
        </w:rPr>
        <w:t>.</w:t>
      </w:r>
      <w:r w:rsidR="00ED50B8" w:rsidRPr="0033605D">
        <w:rPr>
          <w:rFonts w:ascii="Verdana" w:hAnsi="Verdana"/>
          <w:sz w:val="20"/>
          <w:szCs w:val="20"/>
          <w:lang w:val="es-ES"/>
        </w:rPr>
        <w:t xml:space="preserve"> </w:t>
      </w:r>
      <w:r w:rsidR="00164D65" w:rsidRPr="0033605D">
        <w:rPr>
          <w:rFonts w:ascii="Verdana" w:hAnsi="Verdana"/>
          <w:sz w:val="20"/>
          <w:szCs w:val="20"/>
          <w:lang w:val="es-ES"/>
        </w:rPr>
        <w:t xml:space="preserve"> </w:t>
      </w:r>
      <w:r w:rsidR="00572609" w:rsidRPr="0033605D">
        <w:rPr>
          <w:rFonts w:ascii="Verdana" w:hAnsi="Verdana"/>
          <w:sz w:val="20"/>
          <w:szCs w:val="20"/>
          <w:lang w:val="es-ES"/>
        </w:rPr>
        <w:t xml:space="preserve"> </w:t>
      </w:r>
    </w:p>
    <w:p w14:paraId="5784C9EA" w14:textId="71FD31CC" w:rsidR="003E1A62" w:rsidRPr="0033605D" w:rsidRDefault="005D0B78"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conjunto con lo anterior, la Corte afirmó que </w:t>
      </w:r>
      <w:r w:rsidR="004D68A5" w:rsidRPr="0033605D">
        <w:rPr>
          <w:rFonts w:ascii="Verdana" w:hAnsi="Verdana"/>
          <w:sz w:val="20"/>
          <w:szCs w:val="20"/>
          <w:lang w:val="es-ES"/>
        </w:rPr>
        <w:t>la</w:t>
      </w:r>
      <w:r w:rsidR="006955EB" w:rsidRPr="0033605D">
        <w:rPr>
          <w:rFonts w:ascii="Verdana" w:hAnsi="Verdana"/>
          <w:sz w:val="20"/>
          <w:szCs w:val="20"/>
          <w:lang w:val="es-ES"/>
        </w:rPr>
        <w:t xml:space="preserve"> salud sexual y reproductiva</w:t>
      </w:r>
      <w:r w:rsidR="004D68A5" w:rsidRPr="0033605D">
        <w:rPr>
          <w:rFonts w:ascii="Verdana" w:hAnsi="Verdana"/>
          <w:sz w:val="20"/>
          <w:szCs w:val="20"/>
          <w:lang w:val="es-ES"/>
        </w:rPr>
        <w:t xml:space="preserve"> como expresión del derecho a la integridad personal</w:t>
      </w:r>
      <w:r w:rsidR="007B61A7" w:rsidRPr="0033605D">
        <w:rPr>
          <w:rFonts w:ascii="Verdana" w:hAnsi="Verdana"/>
          <w:sz w:val="20"/>
          <w:szCs w:val="20"/>
          <w:lang w:val="es-ES"/>
        </w:rPr>
        <w:t xml:space="preserve"> tiene implicaciones particulares para las mujeres</w:t>
      </w:r>
      <w:r w:rsidR="00D15040" w:rsidRPr="0033605D">
        <w:rPr>
          <w:rFonts w:ascii="Verdana" w:hAnsi="Verdana"/>
          <w:sz w:val="20"/>
          <w:szCs w:val="20"/>
          <w:lang w:val="es-ES"/>
        </w:rPr>
        <w:t xml:space="preserve">. </w:t>
      </w:r>
      <w:r w:rsidR="00DE5A59" w:rsidRPr="0033605D">
        <w:rPr>
          <w:rFonts w:ascii="Verdana" w:hAnsi="Verdana"/>
          <w:sz w:val="20"/>
          <w:szCs w:val="20"/>
          <w:lang w:val="es-ES"/>
        </w:rPr>
        <w:t xml:space="preserve">En </w:t>
      </w:r>
      <w:r w:rsidR="00F524FD" w:rsidRPr="0033605D">
        <w:rPr>
          <w:rFonts w:ascii="Verdana" w:hAnsi="Verdana"/>
          <w:sz w:val="20"/>
          <w:szCs w:val="20"/>
          <w:lang w:val="es-ES"/>
        </w:rPr>
        <w:t>concreto</w:t>
      </w:r>
      <w:r w:rsidR="00DE5A59" w:rsidRPr="0033605D">
        <w:rPr>
          <w:rFonts w:ascii="Verdana" w:hAnsi="Verdana"/>
          <w:sz w:val="20"/>
          <w:szCs w:val="20"/>
          <w:lang w:val="es-ES"/>
        </w:rPr>
        <w:t>, reconoció que su libertad y autonomía en esta materia ha sido históricamente limitada, restringida o anulada con base en estereotipos de género negativos y perjudiciales</w:t>
      </w:r>
      <w:r w:rsidR="00DE5A59" w:rsidRPr="0033605D">
        <w:rPr>
          <w:rStyle w:val="Refdenotaalpie"/>
          <w:rFonts w:ascii="Verdana" w:hAnsi="Verdana"/>
          <w:sz w:val="20"/>
          <w:szCs w:val="20"/>
          <w:lang w:val="es-ES"/>
        </w:rPr>
        <w:footnoteReference w:id="16"/>
      </w:r>
      <w:r w:rsidR="00DE5A59" w:rsidRPr="0033605D">
        <w:rPr>
          <w:rFonts w:ascii="Verdana" w:hAnsi="Verdana"/>
          <w:sz w:val="20"/>
          <w:szCs w:val="20"/>
          <w:lang w:val="es-ES"/>
        </w:rPr>
        <w:t>. Además, haciendo un adecuado uso de la perspectiva de género, la Corte consideró que esa limitación en los derechos de las mujeres “se ha debido a que se ha asignado social y culturalmente a los hombres un rol preponderante en la adopción de decisiones sobre el cuerpo de las mujeres y a que las mujeres son vistas como el ente reproductivo por excelencia”</w:t>
      </w:r>
      <w:r w:rsidR="00DE5A59" w:rsidRPr="0033605D">
        <w:rPr>
          <w:rStyle w:val="Refdenotaalpie"/>
          <w:rFonts w:ascii="Verdana" w:hAnsi="Verdana"/>
          <w:sz w:val="20"/>
          <w:szCs w:val="20"/>
          <w:lang w:val="es-ES"/>
        </w:rPr>
        <w:footnoteReference w:id="17"/>
      </w:r>
      <w:r w:rsidR="00DE5A59" w:rsidRPr="0033605D">
        <w:rPr>
          <w:rFonts w:ascii="Verdana" w:hAnsi="Verdana"/>
          <w:sz w:val="20"/>
          <w:szCs w:val="20"/>
          <w:lang w:val="es-ES"/>
        </w:rPr>
        <w:t>.</w:t>
      </w:r>
      <w:r w:rsidR="00D951CC" w:rsidRPr="0033605D">
        <w:rPr>
          <w:rFonts w:ascii="Verdana" w:hAnsi="Verdana"/>
          <w:sz w:val="20"/>
          <w:szCs w:val="20"/>
          <w:lang w:val="es-ES"/>
        </w:rPr>
        <w:t xml:space="preserve"> Por lo anterior, el Tribunal fue enfático al señalar que la Convención protege</w:t>
      </w:r>
      <w:r w:rsidR="00D15040" w:rsidRPr="0033605D">
        <w:rPr>
          <w:rFonts w:ascii="Verdana" w:hAnsi="Verdana"/>
          <w:sz w:val="20"/>
          <w:szCs w:val="20"/>
          <w:lang w:val="es-ES"/>
        </w:rPr>
        <w:t xml:space="preserve"> “</w:t>
      </w:r>
      <w:r w:rsidR="00D951CC" w:rsidRPr="0033605D">
        <w:rPr>
          <w:rFonts w:ascii="Verdana" w:hAnsi="Verdana"/>
          <w:sz w:val="20"/>
          <w:szCs w:val="20"/>
          <w:lang w:val="es-ES"/>
        </w:rPr>
        <w:t xml:space="preserve">[…] </w:t>
      </w:r>
      <w:r w:rsidR="00D15040" w:rsidRPr="0033605D">
        <w:rPr>
          <w:rFonts w:ascii="Verdana" w:hAnsi="Verdana"/>
          <w:sz w:val="20"/>
          <w:szCs w:val="20"/>
          <w:lang w:val="es-ES"/>
        </w:rPr>
        <w:t xml:space="preserve">la autonomía y la libertad reproductiva, en cuanto al derecho a tomar decisiones autónomas sobre su plan de vida, su cuerpo y su salud sexual y reproductiva, libre de toda violencia, coacción y discriminación. Por el otro lado, </w:t>
      </w:r>
      <w:r w:rsidR="006E0605" w:rsidRPr="0033605D">
        <w:rPr>
          <w:rFonts w:ascii="Verdana" w:hAnsi="Verdana"/>
          <w:sz w:val="20"/>
          <w:szCs w:val="20"/>
          <w:lang w:val="es-ES"/>
        </w:rPr>
        <w:t>[…]</w:t>
      </w:r>
      <w:r w:rsidR="00D15040" w:rsidRPr="0033605D">
        <w:rPr>
          <w:rFonts w:ascii="Verdana" w:hAnsi="Verdana"/>
          <w:sz w:val="20"/>
          <w:szCs w:val="20"/>
          <w:lang w:val="es-ES"/>
        </w:rPr>
        <w:t xml:space="preserve"> acceso tanto a servicios</w:t>
      </w:r>
      <w:r w:rsidR="00362178" w:rsidRPr="0033605D">
        <w:rPr>
          <w:rFonts w:ascii="Verdana" w:hAnsi="Verdana"/>
          <w:sz w:val="20"/>
          <w:szCs w:val="20"/>
          <w:lang w:val="es-ES"/>
        </w:rPr>
        <w:t xml:space="preserve"> de salud reproductiva como a la información, la educación y los medios que les permitan ejercer su derecho a decidir de forma libre y responsable el número de hijos que desean tener y el intervalo de nacimientos</w:t>
      </w:r>
      <w:r w:rsidR="00D15040" w:rsidRPr="0033605D">
        <w:rPr>
          <w:rFonts w:ascii="Verdana" w:hAnsi="Verdana"/>
          <w:sz w:val="20"/>
          <w:szCs w:val="20"/>
          <w:lang w:val="es-ES"/>
        </w:rPr>
        <w:t>”</w:t>
      </w:r>
      <w:r w:rsidR="00362178" w:rsidRPr="0033605D">
        <w:rPr>
          <w:rStyle w:val="Refdenotaalpie"/>
          <w:rFonts w:ascii="Verdana" w:hAnsi="Verdana"/>
          <w:sz w:val="20"/>
          <w:szCs w:val="20"/>
          <w:lang w:val="es-ES"/>
        </w:rPr>
        <w:footnoteReference w:id="18"/>
      </w:r>
      <w:r w:rsidR="00D15040" w:rsidRPr="0033605D">
        <w:rPr>
          <w:rFonts w:ascii="Verdana" w:hAnsi="Verdana"/>
          <w:sz w:val="20"/>
          <w:szCs w:val="20"/>
          <w:lang w:val="es-ES"/>
        </w:rPr>
        <w:t xml:space="preserve">. </w:t>
      </w:r>
      <w:r w:rsidR="00644748" w:rsidRPr="0033605D">
        <w:rPr>
          <w:rFonts w:ascii="Verdana" w:hAnsi="Verdana"/>
          <w:sz w:val="20"/>
          <w:szCs w:val="20"/>
          <w:lang w:val="es-ES"/>
        </w:rPr>
        <w:t xml:space="preserve">Asimismo, la Corte sostuvo que </w:t>
      </w:r>
      <w:r w:rsidR="006A45EF" w:rsidRPr="0033605D">
        <w:rPr>
          <w:rFonts w:ascii="Verdana" w:hAnsi="Verdana"/>
          <w:sz w:val="20"/>
          <w:szCs w:val="20"/>
          <w:lang w:val="es-ES"/>
        </w:rPr>
        <w:t xml:space="preserve">el desconocimiento de </w:t>
      </w:r>
      <w:r w:rsidR="00297999" w:rsidRPr="0033605D">
        <w:rPr>
          <w:rFonts w:ascii="Verdana" w:hAnsi="Verdana"/>
          <w:sz w:val="20"/>
          <w:szCs w:val="20"/>
          <w:lang w:val="es-ES"/>
        </w:rPr>
        <w:t>estos componentes de la salud sexual y reproductiva a través de una</w:t>
      </w:r>
      <w:r w:rsidR="00D02B75" w:rsidRPr="0033605D">
        <w:rPr>
          <w:rFonts w:ascii="Verdana" w:hAnsi="Verdana"/>
          <w:sz w:val="20"/>
          <w:szCs w:val="20"/>
          <w:lang w:val="es-ES"/>
        </w:rPr>
        <w:t xml:space="preserve"> esterilización no </w:t>
      </w:r>
      <w:r w:rsidR="004A6B2A" w:rsidRPr="0033605D">
        <w:rPr>
          <w:rFonts w:ascii="Verdana" w:hAnsi="Verdana"/>
          <w:sz w:val="20"/>
          <w:szCs w:val="20"/>
          <w:lang w:val="es-ES"/>
        </w:rPr>
        <w:t>consentida</w:t>
      </w:r>
      <w:r w:rsidR="00DE27DA" w:rsidRPr="0033605D">
        <w:rPr>
          <w:rFonts w:ascii="Verdana" w:hAnsi="Verdana"/>
          <w:sz w:val="20"/>
          <w:szCs w:val="20"/>
          <w:lang w:val="es-ES"/>
        </w:rPr>
        <w:t xml:space="preserve"> </w:t>
      </w:r>
      <w:r w:rsidR="00297999" w:rsidRPr="0033605D">
        <w:rPr>
          <w:rFonts w:ascii="Verdana" w:hAnsi="Verdana"/>
          <w:sz w:val="20"/>
          <w:szCs w:val="20"/>
          <w:lang w:val="es-ES"/>
        </w:rPr>
        <w:t>constitu</w:t>
      </w:r>
      <w:r w:rsidR="00DE27DA" w:rsidRPr="0033605D">
        <w:rPr>
          <w:rFonts w:ascii="Verdana" w:hAnsi="Verdana"/>
          <w:sz w:val="20"/>
          <w:szCs w:val="20"/>
          <w:lang w:val="es-ES"/>
        </w:rPr>
        <w:t>yó</w:t>
      </w:r>
      <w:r w:rsidR="00297999" w:rsidRPr="0033605D">
        <w:rPr>
          <w:rFonts w:ascii="Verdana" w:hAnsi="Verdana"/>
          <w:sz w:val="20"/>
          <w:szCs w:val="20"/>
          <w:lang w:val="es-ES"/>
        </w:rPr>
        <w:t xml:space="preserve"> una forma de violencia contra la mujer</w:t>
      </w:r>
      <w:r w:rsidR="002D3D4C" w:rsidRPr="0033605D">
        <w:rPr>
          <w:rFonts w:ascii="Verdana" w:hAnsi="Verdana"/>
          <w:sz w:val="20"/>
          <w:szCs w:val="20"/>
          <w:lang w:val="es-ES"/>
        </w:rPr>
        <w:t xml:space="preserve"> que contraviene el artículo 7 a) de la Convención de Belém do Pará</w:t>
      </w:r>
      <w:r w:rsidR="002D3D4C" w:rsidRPr="0033605D">
        <w:rPr>
          <w:rStyle w:val="Refdenotaalpie"/>
          <w:rFonts w:ascii="Verdana" w:hAnsi="Verdana"/>
          <w:sz w:val="20"/>
          <w:szCs w:val="20"/>
          <w:lang w:val="es-ES"/>
        </w:rPr>
        <w:footnoteReference w:id="19"/>
      </w:r>
      <w:r w:rsidR="002D3D4C" w:rsidRPr="0033605D">
        <w:rPr>
          <w:rFonts w:ascii="Verdana" w:hAnsi="Verdana"/>
          <w:sz w:val="20"/>
          <w:szCs w:val="20"/>
          <w:lang w:val="es-ES"/>
        </w:rPr>
        <w:t xml:space="preserve">. </w:t>
      </w:r>
    </w:p>
    <w:p w14:paraId="53B02C69" w14:textId="11EAF779" w:rsidR="00533310" w:rsidRPr="0033605D" w:rsidRDefault="00C44C70"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En una segunda fase, centrada en el reconocimiento de la justiciabilidad de los derechos económicos, sociales, culturales y ambientales (en adelante “DESCA”)</w:t>
      </w:r>
      <w:r w:rsidR="00AD2BBC" w:rsidRPr="0033605D">
        <w:rPr>
          <w:rFonts w:ascii="Verdana" w:hAnsi="Verdana"/>
          <w:sz w:val="20"/>
          <w:szCs w:val="20"/>
          <w:lang w:val="es-ES"/>
        </w:rPr>
        <w:t>,</w:t>
      </w:r>
      <w:r w:rsidRPr="0033605D">
        <w:rPr>
          <w:rFonts w:ascii="Verdana" w:hAnsi="Verdana"/>
          <w:sz w:val="20"/>
          <w:szCs w:val="20"/>
          <w:lang w:val="es-ES"/>
        </w:rPr>
        <w:t xml:space="preserve"> la Corte </w:t>
      </w:r>
      <w:r w:rsidR="00D24E71" w:rsidRPr="0033605D">
        <w:rPr>
          <w:rFonts w:ascii="Verdana" w:hAnsi="Verdana"/>
          <w:sz w:val="20"/>
          <w:szCs w:val="20"/>
          <w:lang w:val="es-ES"/>
        </w:rPr>
        <w:t>desarroll</w:t>
      </w:r>
      <w:r w:rsidR="0073123C" w:rsidRPr="0033605D">
        <w:rPr>
          <w:rFonts w:ascii="Verdana" w:hAnsi="Verdana"/>
          <w:sz w:val="20"/>
          <w:szCs w:val="20"/>
          <w:lang w:val="es-ES"/>
        </w:rPr>
        <w:t>ó</w:t>
      </w:r>
      <w:r w:rsidR="00D24E71" w:rsidRPr="0033605D">
        <w:rPr>
          <w:rFonts w:ascii="Verdana" w:hAnsi="Verdana"/>
          <w:sz w:val="20"/>
          <w:szCs w:val="20"/>
          <w:lang w:val="es-ES"/>
        </w:rPr>
        <w:t xml:space="preserve"> el alcance y contenido de los derechos sexuales y reproductivos en relación </w:t>
      </w:r>
      <w:r w:rsidR="00B00DF0" w:rsidRPr="0033605D">
        <w:rPr>
          <w:rFonts w:ascii="Verdana" w:hAnsi="Verdana"/>
          <w:sz w:val="20"/>
          <w:szCs w:val="20"/>
          <w:lang w:val="es-ES"/>
        </w:rPr>
        <w:lastRenderedPageBreak/>
        <w:t>con los derechos a la salud y la educación</w:t>
      </w:r>
      <w:r w:rsidR="00D24E71" w:rsidRPr="0033605D">
        <w:rPr>
          <w:rFonts w:ascii="Verdana" w:hAnsi="Verdana"/>
          <w:sz w:val="20"/>
          <w:szCs w:val="20"/>
          <w:lang w:val="es-ES"/>
        </w:rPr>
        <w:t xml:space="preserve">. </w:t>
      </w:r>
      <w:r w:rsidR="00693D18" w:rsidRPr="0033605D">
        <w:rPr>
          <w:rFonts w:ascii="Verdana" w:hAnsi="Verdana"/>
          <w:sz w:val="20"/>
          <w:szCs w:val="20"/>
          <w:lang w:val="es-ES"/>
        </w:rPr>
        <w:t xml:space="preserve">Así, en el </w:t>
      </w:r>
      <w:r w:rsidR="00693D18" w:rsidRPr="0033605D">
        <w:rPr>
          <w:rFonts w:ascii="Verdana" w:hAnsi="Verdana"/>
          <w:i/>
          <w:iCs/>
          <w:sz w:val="20"/>
          <w:szCs w:val="20"/>
          <w:lang w:val="es-ES"/>
        </w:rPr>
        <w:t xml:space="preserve">caso </w:t>
      </w:r>
      <w:r w:rsidR="0071358D" w:rsidRPr="0033605D">
        <w:rPr>
          <w:rFonts w:ascii="Verdana" w:hAnsi="Verdana"/>
          <w:i/>
          <w:iCs/>
          <w:sz w:val="20"/>
          <w:szCs w:val="20"/>
          <w:lang w:val="es-ES"/>
        </w:rPr>
        <w:t>Manuela</w:t>
      </w:r>
      <w:r w:rsidR="00693D18" w:rsidRPr="0033605D">
        <w:rPr>
          <w:rFonts w:ascii="Verdana" w:hAnsi="Verdana"/>
          <w:i/>
          <w:iCs/>
          <w:sz w:val="20"/>
          <w:szCs w:val="20"/>
          <w:lang w:val="es-ES"/>
        </w:rPr>
        <w:t xml:space="preserve"> </w:t>
      </w:r>
      <w:r w:rsidR="00CC57D7" w:rsidRPr="0033605D">
        <w:rPr>
          <w:rFonts w:ascii="Verdana" w:hAnsi="Verdana"/>
          <w:i/>
          <w:iCs/>
          <w:sz w:val="20"/>
          <w:szCs w:val="20"/>
          <w:lang w:val="es-ES"/>
        </w:rPr>
        <w:t>Vs</w:t>
      </w:r>
      <w:r w:rsidR="00693D18" w:rsidRPr="0033605D">
        <w:rPr>
          <w:rFonts w:ascii="Verdana" w:hAnsi="Verdana"/>
          <w:i/>
          <w:iCs/>
          <w:sz w:val="20"/>
          <w:szCs w:val="20"/>
          <w:lang w:val="es-ES"/>
        </w:rPr>
        <w:t>. El Salvador</w:t>
      </w:r>
      <w:r w:rsidR="00A46E39" w:rsidRPr="0033605D">
        <w:rPr>
          <w:rFonts w:ascii="Verdana" w:hAnsi="Verdana"/>
          <w:sz w:val="20"/>
          <w:szCs w:val="20"/>
          <w:lang w:val="es-ES"/>
        </w:rPr>
        <w:t xml:space="preserve"> </w:t>
      </w:r>
      <w:r w:rsidR="008D785B" w:rsidRPr="0033605D">
        <w:rPr>
          <w:rFonts w:ascii="Verdana" w:hAnsi="Verdana"/>
          <w:sz w:val="20"/>
          <w:szCs w:val="20"/>
          <w:lang w:val="es-ES"/>
        </w:rPr>
        <w:t xml:space="preserve">relativo a la </w:t>
      </w:r>
      <w:r w:rsidR="0012155F" w:rsidRPr="0033605D">
        <w:rPr>
          <w:rFonts w:ascii="Verdana" w:hAnsi="Verdana"/>
          <w:sz w:val="20"/>
          <w:szCs w:val="20"/>
          <w:lang w:val="es-ES"/>
        </w:rPr>
        <w:t xml:space="preserve">detención, juzgamiento y condena </w:t>
      </w:r>
      <w:r w:rsidR="00A8024A" w:rsidRPr="0033605D">
        <w:rPr>
          <w:rFonts w:ascii="Verdana" w:hAnsi="Verdana"/>
          <w:sz w:val="20"/>
          <w:szCs w:val="20"/>
          <w:lang w:val="es-ES"/>
        </w:rPr>
        <w:t>de la víctima</w:t>
      </w:r>
      <w:r w:rsidR="0012155F" w:rsidRPr="0033605D">
        <w:rPr>
          <w:rFonts w:ascii="Verdana" w:hAnsi="Verdana"/>
          <w:sz w:val="20"/>
          <w:szCs w:val="20"/>
          <w:lang w:val="es-ES"/>
        </w:rPr>
        <w:t xml:space="preserve"> </w:t>
      </w:r>
      <w:r w:rsidR="006375C1" w:rsidRPr="0033605D">
        <w:rPr>
          <w:rFonts w:ascii="Verdana" w:hAnsi="Verdana"/>
          <w:sz w:val="20"/>
          <w:szCs w:val="20"/>
          <w:lang w:val="es-ES"/>
        </w:rPr>
        <w:t>en el marco de</w:t>
      </w:r>
      <w:r w:rsidR="0012155F" w:rsidRPr="0033605D">
        <w:rPr>
          <w:rFonts w:ascii="Verdana" w:hAnsi="Verdana"/>
          <w:sz w:val="20"/>
          <w:szCs w:val="20"/>
          <w:lang w:val="es-ES"/>
        </w:rPr>
        <w:t xml:space="preserve"> una emergencia obstétrica</w:t>
      </w:r>
      <w:r w:rsidR="00930FFD" w:rsidRPr="0033605D">
        <w:rPr>
          <w:rFonts w:ascii="Verdana" w:hAnsi="Verdana"/>
          <w:sz w:val="20"/>
          <w:szCs w:val="20"/>
          <w:lang w:val="es-ES"/>
        </w:rPr>
        <w:t xml:space="preserve">, la Corte sostuvo que </w:t>
      </w:r>
      <w:r w:rsidR="00004030" w:rsidRPr="0033605D">
        <w:rPr>
          <w:rFonts w:ascii="Verdana" w:hAnsi="Verdana"/>
          <w:sz w:val="20"/>
          <w:szCs w:val="20"/>
          <w:lang w:val="es-ES"/>
        </w:rPr>
        <w:t>la falta de trato digno, respetuoso</w:t>
      </w:r>
      <w:r w:rsidR="002650B2" w:rsidRPr="0033605D">
        <w:rPr>
          <w:rFonts w:ascii="Verdana" w:hAnsi="Verdana"/>
          <w:sz w:val="20"/>
          <w:szCs w:val="20"/>
          <w:lang w:val="es-ES"/>
        </w:rPr>
        <w:t xml:space="preserve">, adecuado </w:t>
      </w:r>
      <w:r w:rsidR="00004030" w:rsidRPr="0033605D">
        <w:rPr>
          <w:rFonts w:ascii="Verdana" w:hAnsi="Verdana"/>
          <w:sz w:val="20"/>
          <w:szCs w:val="20"/>
          <w:lang w:val="es-ES"/>
        </w:rPr>
        <w:t>y libre de discriminación en los servicios de salud reproductiva</w:t>
      </w:r>
      <w:r w:rsidR="002650B2" w:rsidRPr="0033605D">
        <w:rPr>
          <w:rFonts w:ascii="Verdana" w:hAnsi="Verdana"/>
          <w:sz w:val="20"/>
          <w:szCs w:val="20"/>
          <w:lang w:val="es-ES"/>
        </w:rPr>
        <w:t xml:space="preserve"> desconoc</w:t>
      </w:r>
      <w:r w:rsidR="00090EE2" w:rsidRPr="0033605D">
        <w:rPr>
          <w:rFonts w:ascii="Verdana" w:hAnsi="Verdana"/>
          <w:sz w:val="20"/>
          <w:szCs w:val="20"/>
          <w:lang w:val="es-ES"/>
        </w:rPr>
        <w:t>ió</w:t>
      </w:r>
      <w:r w:rsidR="002650B2" w:rsidRPr="0033605D">
        <w:rPr>
          <w:rFonts w:ascii="Verdana" w:hAnsi="Verdana"/>
          <w:sz w:val="20"/>
          <w:szCs w:val="20"/>
          <w:lang w:val="es-ES"/>
        </w:rPr>
        <w:t xml:space="preserve"> los derechos a la integridad personal, la vida privada, la salud y la igualdad y no</w:t>
      </w:r>
      <w:r w:rsidR="00F41F1C" w:rsidRPr="0033605D">
        <w:rPr>
          <w:rFonts w:ascii="Verdana" w:hAnsi="Verdana"/>
          <w:sz w:val="20"/>
          <w:szCs w:val="20"/>
          <w:lang w:val="es-ES"/>
        </w:rPr>
        <w:t xml:space="preserve"> discriminación</w:t>
      </w:r>
      <w:r w:rsidR="00533310" w:rsidRPr="0033605D">
        <w:rPr>
          <w:rFonts w:ascii="Verdana" w:hAnsi="Verdana"/>
          <w:sz w:val="20"/>
          <w:szCs w:val="20"/>
          <w:lang w:val="es-ES"/>
        </w:rPr>
        <w:t>, así como el derecho a vivir una vida libre de violencia</w:t>
      </w:r>
      <w:r w:rsidR="00F41F1C" w:rsidRPr="0033605D">
        <w:rPr>
          <w:rFonts w:ascii="Verdana" w:hAnsi="Verdana"/>
          <w:sz w:val="20"/>
          <w:szCs w:val="20"/>
          <w:lang w:val="es-ES"/>
        </w:rPr>
        <w:t>.</w:t>
      </w:r>
      <w:r w:rsidR="00533310" w:rsidRPr="0033605D">
        <w:rPr>
          <w:rFonts w:ascii="Verdana" w:hAnsi="Verdana"/>
          <w:sz w:val="20"/>
          <w:szCs w:val="20"/>
          <w:lang w:val="es-ES"/>
        </w:rPr>
        <w:t xml:space="preserve"> En este sentido, </w:t>
      </w:r>
      <w:r w:rsidR="00090EE2" w:rsidRPr="0033605D">
        <w:rPr>
          <w:rFonts w:ascii="Verdana" w:hAnsi="Verdana"/>
          <w:sz w:val="20"/>
          <w:szCs w:val="20"/>
          <w:lang w:val="es-ES"/>
        </w:rPr>
        <w:t>el Tribunal retomó</w:t>
      </w:r>
      <w:r w:rsidR="00FB7A09" w:rsidRPr="0033605D">
        <w:rPr>
          <w:rFonts w:ascii="Verdana" w:hAnsi="Verdana"/>
          <w:sz w:val="20"/>
          <w:szCs w:val="20"/>
          <w:lang w:val="es-ES"/>
        </w:rPr>
        <w:t xml:space="preserve"> </w:t>
      </w:r>
      <w:r w:rsidR="00533310" w:rsidRPr="0033605D">
        <w:rPr>
          <w:rFonts w:ascii="Verdana" w:hAnsi="Verdana"/>
          <w:sz w:val="20"/>
          <w:szCs w:val="20"/>
          <w:lang w:val="es-ES"/>
        </w:rPr>
        <w:t xml:space="preserve">el énfasis de los casos </w:t>
      </w:r>
      <w:r w:rsidR="00533310" w:rsidRPr="0033605D">
        <w:rPr>
          <w:rFonts w:ascii="Verdana" w:hAnsi="Verdana"/>
          <w:i/>
          <w:iCs/>
          <w:sz w:val="20"/>
          <w:szCs w:val="20"/>
          <w:lang w:val="es-ES"/>
        </w:rPr>
        <w:t>Artavia Murillo</w:t>
      </w:r>
      <w:r w:rsidR="00533310" w:rsidRPr="0033605D">
        <w:rPr>
          <w:rFonts w:ascii="Verdana" w:hAnsi="Verdana"/>
          <w:sz w:val="20"/>
          <w:szCs w:val="20"/>
          <w:lang w:val="es-ES"/>
        </w:rPr>
        <w:t xml:space="preserve"> e </w:t>
      </w:r>
      <w:r w:rsidR="00533310" w:rsidRPr="0033605D">
        <w:rPr>
          <w:rFonts w:ascii="Verdana" w:hAnsi="Verdana"/>
          <w:i/>
          <w:iCs/>
          <w:sz w:val="20"/>
          <w:szCs w:val="20"/>
          <w:lang w:val="es-ES"/>
        </w:rPr>
        <w:t>I.V.</w:t>
      </w:r>
      <w:r w:rsidR="00533310" w:rsidRPr="0033605D">
        <w:rPr>
          <w:rFonts w:ascii="Verdana" w:hAnsi="Verdana"/>
          <w:sz w:val="20"/>
          <w:szCs w:val="20"/>
          <w:lang w:val="es-ES"/>
        </w:rPr>
        <w:t xml:space="preserve"> en</w:t>
      </w:r>
      <w:r w:rsidR="00FB7A09" w:rsidRPr="0033605D">
        <w:rPr>
          <w:rFonts w:ascii="Verdana" w:hAnsi="Verdana"/>
          <w:sz w:val="20"/>
          <w:szCs w:val="20"/>
          <w:lang w:val="es-ES"/>
        </w:rPr>
        <w:t xml:space="preserve"> relación con</w:t>
      </w:r>
      <w:r w:rsidR="00533310" w:rsidRPr="0033605D">
        <w:rPr>
          <w:rFonts w:ascii="Verdana" w:hAnsi="Verdana"/>
          <w:sz w:val="20"/>
          <w:szCs w:val="20"/>
          <w:lang w:val="es-ES"/>
        </w:rPr>
        <w:t xml:space="preserve"> la autonomía reproductiva y las necesidades particulares de las mujeres en materia sexual y reproductiva</w:t>
      </w:r>
      <w:r w:rsidR="00090EE2" w:rsidRPr="0033605D">
        <w:rPr>
          <w:rFonts w:ascii="Verdana" w:hAnsi="Verdana"/>
          <w:sz w:val="20"/>
          <w:szCs w:val="20"/>
          <w:lang w:val="es-ES"/>
        </w:rPr>
        <w:t xml:space="preserve">. </w:t>
      </w:r>
      <w:r w:rsidR="001A5684" w:rsidRPr="0033605D">
        <w:rPr>
          <w:rFonts w:ascii="Verdana" w:hAnsi="Verdana"/>
          <w:sz w:val="20"/>
          <w:szCs w:val="20"/>
          <w:lang w:val="es-ES"/>
        </w:rPr>
        <w:t>Además, estimó</w:t>
      </w:r>
      <w:r w:rsidR="00CA5BCD" w:rsidRPr="0033605D">
        <w:rPr>
          <w:rFonts w:ascii="Verdana" w:hAnsi="Verdana"/>
          <w:sz w:val="20"/>
          <w:szCs w:val="20"/>
          <w:lang w:val="es-ES"/>
        </w:rPr>
        <w:t xml:space="preserve"> que</w:t>
      </w:r>
      <w:r w:rsidR="00533310" w:rsidRPr="0033605D">
        <w:rPr>
          <w:rFonts w:ascii="Verdana" w:hAnsi="Verdana"/>
          <w:sz w:val="20"/>
          <w:szCs w:val="20"/>
          <w:lang w:val="es-ES"/>
        </w:rPr>
        <w:t xml:space="preserve"> la salud sexual y reproductiva </w:t>
      </w:r>
      <w:r w:rsidR="00CA5BCD" w:rsidRPr="0033605D">
        <w:rPr>
          <w:rFonts w:ascii="Verdana" w:hAnsi="Verdana"/>
          <w:sz w:val="20"/>
          <w:szCs w:val="20"/>
          <w:lang w:val="es-ES"/>
        </w:rPr>
        <w:t>era parte del</w:t>
      </w:r>
      <w:r w:rsidR="00533310" w:rsidRPr="0033605D">
        <w:rPr>
          <w:rFonts w:ascii="Verdana" w:hAnsi="Verdana"/>
          <w:sz w:val="20"/>
          <w:szCs w:val="20"/>
          <w:lang w:val="es-ES"/>
        </w:rPr>
        <w:t xml:space="preserve"> derecho a la salud (artículo 26)</w:t>
      </w:r>
      <w:r w:rsidR="009E1178" w:rsidRPr="0033605D">
        <w:rPr>
          <w:rStyle w:val="Refdenotaalpie"/>
          <w:rFonts w:ascii="Verdana" w:hAnsi="Verdana"/>
          <w:sz w:val="20"/>
          <w:szCs w:val="20"/>
          <w:lang w:val="es-ES"/>
        </w:rPr>
        <w:footnoteReference w:id="20"/>
      </w:r>
      <w:r w:rsidR="00CA5BCD" w:rsidRPr="0033605D">
        <w:rPr>
          <w:rFonts w:ascii="Verdana" w:hAnsi="Verdana"/>
          <w:sz w:val="20"/>
          <w:szCs w:val="20"/>
          <w:lang w:val="es-ES"/>
        </w:rPr>
        <w:t xml:space="preserve">, </w:t>
      </w:r>
      <w:r w:rsidR="00924457" w:rsidRPr="0033605D">
        <w:rPr>
          <w:rFonts w:ascii="Verdana" w:hAnsi="Verdana"/>
          <w:sz w:val="20"/>
          <w:szCs w:val="20"/>
          <w:lang w:val="es-ES"/>
        </w:rPr>
        <w:t>y que las fallas en la atención médica, causadas por la</w:t>
      </w:r>
      <w:r w:rsidR="00CE1ED5" w:rsidRPr="0033605D">
        <w:rPr>
          <w:rFonts w:ascii="Verdana" w:hAnsi="Verdana"/>
          <w:sz w:val="20"/>
          <w:szCs w:val="20"/>
          <w:lang w:val="es-ES"/>
        </w:rPr>
        <w:t xml:space="preserve"> falta de regulación del secreto </w:t>
      </w:r>
      <w:r w:rsidR="001A5684" w:rsidRPr="0033605D">
        <w:rPr>
          <w:rFonts w:ascii="Verdana" w:hAnsi="Verdana"/>
          <w:sz w:val="20"/>
          <w:szCs w:val="20"/>
          <w:lang w:val="es-ES"/>
        </w:rPr>
        <w:t>profesional</w:t>
      </w:r>
      <w:r w:rsidR="00CE1ED5" w:rsidRPr="0033605D">
        <w:rPr>
          <w:rFonts w:ascii="Verdana" w:hAnsi="Verdana"/>
          <w:sz w:val="20"/>
          <w:szCs w:val="20"/>
          <w:lang w:val="es-ES"/>
        </w:rPr>
        <w:t xml:space="preserve"> en el marco de la</w:t>
      </w:r>
      <w:r w:rsidR="00924457" w:rsidRPr="0033605D">
        <w:rPr>
          <w:rFonts w:ascii="Verdana" w:hAnsi="Verdana"/>
          <w:sz w:val="20"/>
          <w:szCs w:val="20"/>
          <w:lang w:val="es-ES"/>
        </w:rPr>
        <w:t xml:space="preserve"> criminalización absoluta de la interrupción voluntaria del embarazo</w:t>
      </w:r>
      <w:r w:rsidR="00CA5BCD" w:rsidRPr="0033605D">
        <w:rPr>
          <w:rFonts w:ascii="Verdana" w:hAnsi="Verdana"/>
          <w:sz w:val="20"/>
          <w:szCs w:val="20"/>
          <w:lang w:val="es-ES"/>
        </w:rPr>
        <w:t>, constituy</w:t>
      </w:r>
      <w:r w:rsidR="00C35F49" w:rsidRPr="0033605D">
        <w:rPr>
          <w:rFonts w:ascii="Verdana" w:hAnsi="Verdana"/>
          <w:sz w:val="20"/>
          <w:szCs w:val="20"/>
          <w:lang w:val="es-ES"/>
        </w:rPr>
        <w:t>ó</w:t>
      </w:r>
      <w:r w:rsidR="00CA5BCD" w:rsidRPr="0033605D">
        <w:rPr>
          <w:rFonts w:ascii="Verdana" w:hAnsi="Verdana"/>
          <w:sz w:val="20"/>
          <w:szCs w:val="20"/>
          <w:lang w:val="es-ES"/>
        </w:rPr>
        <w:t xml:space="preserve"> un </w:t>
      </w:r>
      <w:r w:rsidR="00EF4B30" w:rsidRPr="0033605D">
        <w:rPr>
          <w:rFonts w:ascii="Verdana" w:hAnsi="Verdana"/>
          <w:sz w:val="20"/>
          <w:szCs w:val="20"/>
          <w:lang w:val="es-ES"/>
        </w:rPr>
        <w:t xml:space="preserve">acto </w:t>
      </w:r>
      <w:r w:rsidR="00224B52" w:rsidRPr="0033605D">
        <w:rPr>
          <w:rFonts w:ascii="Verdana" w:hAnsi="Verdana"/>
          <w:sz w:val="20"/>
          <w:szCs w:val="20"/>
          <w:lang w:val="es-ES"/>
        </w:rPr>
        <w:t xml:space="preserve">de </w:t>
      </w:r>
      <w:r w:rsidR="002F03D5" w:rsidRPr="0033605D">
        <w:rPr>
          <w:rFonts w:ascii="Verdana" w:hAnsi="Verdana"/>
          <w:sz w:val="20"/>
          <w:szCs w:val="20"/>
          <w:lang w:val="es-ES"/>
        </w:rPr>
        <w:t>discrimina</w:t>
      </w:r>
      <w:r w:rsidR="00224B52" w:rsidRPr="0033605D">
        <w:rPr>
          <w:rFonts w:ascii="Verdana" w:hAnsi="Verdana"/>
          <w:sz w:val="20"/>
          <w:szCs w:val="20"/>
          <w:lang w:val="es-ES"/>
        </w:rPr>
        <w:t>ción interseccional</w:t>
      </w:r>
      <w:r w:rsidR="002F03D5" w:rsidRPr="0033605D">
        <w:rPr>
          <w:rFonts w:ascii="Verdana" w:hAnsi="Verdana"/>
          <w:sz w:val="20"/>
          <w:szCs w:val="20"/>
          <w:lang w:val="es-ES"/>
        </w:rPr>
        <w:t xml:space="preserve"> y de </w:t>
      </w:r>
      <w:r w:rsidR="00EF4B30" w:rsidRPr="0033605D">
        <w:rPr>
          <w:rFonts w:ascii="Verdana" w:hAnsi="Verdana"/>
          <w:sz w:val="20"/>
          <w:szCs w:val="20"/>
          <w:lang w:val="es-ES"/>
        </w:rPr>
        <w:t>violencia contra la mujer</w:t>
      </w:r>
      <w:r w:rsidR="00A51837" w:rsidRPr="0033605D">
        <w:rPr>
          <w:rStyle w:val="Refdenotaalpie"/>
          <w:rFonts w:ascii="Verdana" w:hAnsi="Verdana"/>
          <w:sz w:val="20"/>
          <w:szCs w:val="20"/>
          <w:lang w:val="es-ES"/>
        </w:rPr>
        <w:footnoteReference w:id="21"/>
      </w:r>
      <w:r w:rsidR="00EF4B30" w:rsidRPr="0033605D">
        <w:rPr>
          <w:rFonts w:ascii="Verdana" w:hAnsi="Verdana"/>
          <w:sz w:val="20"/>
          <w:szCs w:val="20"/>
          <w:lang w:val="es-ES"/>
        </w:rPr>
        <w:t xml:space="preserve">. </w:t>
      </w:r>
    </w:p>
    <w:p w14:paraId="16AB73E6" w14:textId="486FC8D3" w:rsidR="002F3F21" w:rsidRPr="0033605D" w:rsidRDefault="00440C12"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En lo que refiere a las fallas en la atención</w:t>
      </w:r>
      <w:r w:rsidR="00DF6169" w:rsidRPr="0033605D">
        <w:rPr>
          <w:rFonts w:ascii="Verdana" w:hAnsi="Verdana"/>
          <w:sz w:val="20"/>
          <w:szCs w:val="20"/>
          <w:lang w:val="es-ES"/>
        </w:rPr>
        <w:t xml:space="preserve"> por la ambigüedad en la legislación</w:t>
      </w:r>
      <w:r w:rsidR="008856A4" w:rsidRPr="0033605D">
        <w:rPr>
          <w:rFonts w:ascii="Verdana" w:hAnsi="Verdana"/>
          <w:sz w:val="20"/>
          <w:szCs w:val="20"/>
          <w:lang w:val="es-ES"/>
        </w:rPr>
        <w:t xml:space="preserve">, </w:t>
      </w:r>
      <w:r w:rsidR="002F3F21" w:rsidRPr="0033605D">
        <w:rPr>
          <w:rFonts w:ascii="Verdana" w:hAnsi="Verdana"/>
          <w:sz w:val="20"/>
          <w:szCs w:val="20"/>
          <w:lang w:val="es-ES"/>
        </w:rPr>
        <w:t>el Tribunal sostuvo que ante la existencia de normas contradictorias (deber de guardar secreto profesional y deber de denunciar</w:t>
      </w:r>
      <w:r w:rsidR="00AD6F00" w:rsidRPr="0033605D">
        <w:rPr>
          <w:rFonts w:ascii="Verdana" w:hAnsi="Verdana"/>
          <w:sz w:val="20"/>
          <w:szCs w:val="20"/>
          <w:lang w:val="es-ES"/>
        </w:rPr>
        <w:t xml:space="preserve"> un posible caso de aborto u homicidio</w:t>
      </w:r>
      <w:r w:rsidR="002F3F21" w:rsidRPr="0033605D">
        <w:rPr>
          <w:rFonts w:ascii="Verdana" w:hAnsi="Verdana"/>
          <w:sz w:val="20"/>
          <w:szCs w:val="20"/>
          <w:lang w:val="es-ES"/>
        </w:rPr>
        <w:t>)</w:t>
      </w:r>
      <w:r w:rsidR="00AD6F00" w:rsidRPr="0033605D">
        <w:rPr>
          <w:rFonts w:ascii="Verdana" w:hAnsi="Verdana"/>
          <w:sz w:val="20"/>
          <w:szCs w:val="20"/>
          <w:lang w:val="es-ES"/>
        </w:rPr>
        <w:t xml:space="preserve"> </w:t>
      </w:r>
      <w:r w:rsidR="009700B5" w:rsidRPr="0033605D">
        <w:rPr>
          <w:rFonts w:ascii="Verdana" w:hAnsi="Verdana"/>
          <w:sz w:val="20"/>
          <w:szCs w:val="20"/>
          <w:lang w:val="es-ES"/>
        </w:rPr>
        <w:t>y</w:t>
      </w:r>
      <w:r w:rsidR="002F3F21" w:rsidRPr="0033605D">
        <w:rPr>
          <w:rFonts w:ascii="Verdana" w:hAnsi="Verdana"/>
          <w:sz w:val="20"/>
          <w:szCs w:val="20"/>
          <w:lang w:val="es-ES"/>
        </w:rPr>
        <w:t xml:space="preserve"> “</w:t>
      </w:r>
      <w:r w:rsidR="00AD6F00" w:rsidRPr="0033605D">
        <w:rPr>
          <w:rFonts w:ascii="Verdana" w:hAnsi="Verdana"/>
          <w:sz w:val="20"/>
          <w:szCs w:val="20"/>
          <w:lang w:val="es-ES"/>
        </w:rPr>
        <w:t>[t]</w:t>
      </w:r>
      <w:r w:rsidR="002F3F21" w:rsidRPr="0033605D">
        <w:rPr>
          <w:rFonts w:ascii="Verdana" w:hAnsi="Verdana"/>
          <w:sz w:val="20"/>
          <w:szCs w:val="20"/>
          <w:lang w:val="es-ES"/>
        </w:rPr>
        <w:t>ratándose de casos de urgencias obstétricas, en que está en juego la vida de la mujer, debe privilegiarse el deber de guardar el secreto profesional”</w:t>
      </w:r>
      <w:r w:rsidR="002F3F21" w:rsidRPr="0033605D">
        <w:rPr>
          <w:rStyle w:val="Refdenotaalpie"/>
          <w:rFonts w:ascii="Verdana" w:hAnsi="Verdana"/>
          <w:sz w:val="20"/>
          <w:szCs w:val="20"/>
          <w:lang w:val="es-ES"/>
        </w:rPr>
        <w:footnoteReference w:id="22"/>
      </w:r>
      <w:r w:rsidR="002F3F21" w:rsidRPr="0033605D">
        <w:rPr>
          <w:rFonts w:ascii="Verdana" w:hAnsi="Verdana"/>
          <w:sz w:val="20"/>
          <w:szCs w:val="20"/>
          <w:lang w:val="es-ES"/>
        </w:rPr>
        <w:t>.</w:t>
      </w:r>
      <w:r w:rsidR="00FC4D84" w:rsidRPr="0033605D">
        <w:rPr>
          <w:rFonts w:ascii="Verdana" w:hAnsi="Verdana"/>
          <w:sz w:val="20"/>
          <w:szCs w:val="20"/>
          <w:lang w:val="es-ES"/>
        </w:rPr>
        <w:t xml:space="preserve"> Si bien, el Tribunal reconoció que en ocasiones la información que los pacientes comparten con sus </w:t>
      </w:r>
      <w:r w:rsidR="00004FA0" w:rsidRPr="0033605D">
        <w:rPr>
          <w:rFonts w:ascii="Verdana" w:hAnsi="Verdana"/>
          <w:sz w:val="20"/>
          <w:szCs w:val="20"/>
          <w:lang w:val="es-ES"/>
        </w:rPr>
        <w:t>médicos tratantes</w:t>
      </w:r>
      <w:r w:rsidR="00FC4D84" w:rsidRPr="0033605D">
        <w:rPr>
          <w:rFonts w:ascii="Verdana" w:hAnsi="Verdana"/>
          <w:sz w:val="20"/>
          <w:szCs w:val="20"/>
          <w:lang w:val="es-ES"/>
        </w:rPr>
        <w:t xml:space="preserve"> puede ser difundida, esto debe hacerse de forma legítima y debe ser proporcional</w:t>
      </w:r>
      <w:r w:rsidR="000A4965" w:rsidRPr="0033605D">
        <w:rPr>
          <w:rFonts w:ascii="Verdana" w:hAnsi="Verdana"/>
          <w:sz w:val="20"/>
          <w:szCs w:val="20"/>
          <w:lang w:val="es-ES"/>
        </w:rPr>
        <w:t xml:space="preserve">, </w:t>
      </w:r>
      <w:r w:rsidR="006D6A52" w:rsidRPr="0033605D">
        <w:rPr>
          <w:rFonts w:ascii="Verdana" w:hAnsi="Verdana"/>
          <w:sz w:val="20"/>
          <w:szCs w:val="20"/>
          <w:lang w:val="es-ES"/>
        </w:rPr>
        <w:t>lo que</w:t>
      </w:r>
      <w:r w:rsidR="000A4965" w:rsidRPr="0033605D">
        <w:rPr>
          <w:rFonts w:ascii="Verdana" w:hAnsi="Verdana"/>
          <w:sz w:val="20"/>
          <w:szCs w:val="20"/>
          <w:lang w:val="es-ES"/>
        </w:rPr>
        <w:t xml:space="preserve"> no ocurre en los casos de atención de emergencias obstétricas</w:t>
      </w:r>
      <w:r w:rsidR="00FC4D84" w:rsidRPr="0033605D">
        <w:rPr>
          <w:rStyle w:val="Refdenotaalpie"/>
          <w:rFonts w:ascii="Verdana" w:hAnsi="Verdana"/>
          <w:sz w:val="20"/>
          <w:szCs w:val="20"/>
          <w:lang w:val="es-ES"/>
        </w:rPr>
        <w:footnoteReference w:id="23"/>
      </w:r>
      <w:r w:rsidR="00FC4D84" w:rsidRPr="0033605D">
        <w:rPr>
          <w:rFonts w:ascii="Verdana" w:hAnsi="Verdana"/>
          <w:sz w:val="20"/>
          <w:szCs w:val="20"/>
          <w:lang w:val="es-ES"/>
        </w:rPr>
        <w:t xml:space="preserve">. </w:t>
      </w:r>
    </w:p>
    <w:p w14:paraId="3D95B8D6" w14:textId="794ED402" w:rsidR="002E6CE2" w:rsidRPr="0033605D" w:rsidRDefault="007C139D"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Respecto de</w:t>
      </w:r>
      <w:r w:rsidR="009700B5" w:rsidRPr="0033605D">
        <w:rPr>
          <w:rFonts w:ascii="Verdana" w:hAnsi="Verdana"/>
          <w:sz w:val="20"/>
          <w:szCs w:val="20"/>
          <w:lang w:val="es-ES"/>
        </w:rPr>
        <w:t xml:space="preserve"> las fallas en la atención como un acto de discriminación, </w:t>
      </w:r>
      <w:r w:rsidR="00440C12" w:rsidRPr="0033605D">
        <w:rPr>
          <w:rFonts w:ascii="Verdana" w:hAnsi="Verdana"/>
          <w:sz w:val="20"/>
          <w:szCs w:val="20"/>
          <w:lang w:val="es-ES"/>
        </w:rPr>
        <w:t>e</w:t>
      </w:r>
      <w:r w:rsidR="00F41F1C" w:rsidRPr="0033605D">
        <w:rPr>
          <w:rFonts w:ascii="Verdana" w:hAnsi="Verdana"/>
          <w:sz w:val="20"/>
          <w:szCs w:val="20"/>
          <w:lang w:val="es-ES"/>
        </w:rPr>
        <w:t>l Tribunal afirmó que “</w:t>
      </w:r>
      <w:r w:rsidR="00094ECE" w:rsidRPr="0033605D">
        <w:rPr>
          <w:rFonts w:ascii="Verdana" w:hAnsi="Verdana"/>
          <w:sz w:val="20"/>
          <w:szCs w:val="20"/>
          <w:lang w:val="es-ES"/>
        </w:rPr>
        <w:t>la obligación de brindar atención médica sin discriminación implica que la misma tome en cuenta que las necesidades en materia de salud de las mujeres son distintas de las de los hombres,</w:t>
      </w:r>
      <w:r w:rsidR="00E802ED" w:rsidRPr="0033605D">
        <w:rPr>
          <w:rFonts w:ascii="Verdana" w:hAnsi="Verdana"/>
          <w:sz w:val="20"/>
          <w:szCs w:val="20"/>
          <w:lang w:val="es-ES"/>
        </w:rPr>
        <w:t xml:space="preserve"> </w:t>
      </w:r>
      <w:r w:rsidR="00094ECE" w:rsidRPr="0033605D">
        <w:rPr>
          <w:rFonts w:ascii="Verdana" w:hAnsi="Verdana"/>
          <w:sz w:val="20"/>
          <w:szCs w:val="20"/>
          <w:lang w:val="es-ES"/>
        </w:rPr>
        <w:t>y se presten servicios apropiados para las mujeres</w:t>
      </w:r>
      <w:r w:rsidR="0041250F" w:rsidRPr="0033605D">
        <w:rPr>
          <w:rFonts w:ascii="Verdana" w:hAnsi="Verdana"/>
          <w:sz w:val="20"/>
          <w:szCs w:val="20"/>
          <w:lang w:val="es-ES"/>
        </w:rPr>
        <w:t>”</w:t>
      </w:r>
      <w:r w:rsidR="00094ECE" w:rsidRPr="0033605D">
        <w:rPr>
          <w:rStyle w:val="Refdenotaalpie"/>
          <w:rFonts w:ascii="Verdana" w:hAnsi="Verdana"/>
          <w:sz w:val="20"/>
          <w:szCs w:val="20"/>
          <w:lang w:val="es-ES"/>
        </w:rPr>
        <w:footnoteReference w:id="24"/>
      </w:r>
      <w:r w:rsidR="009E5910" w:rsidRPr="0033605D">
        <w:rPr>
          <w:rFonts w:ascii="Verdana" w:hAnsi="Verdana"/>
          <w:sz w:val="20"/>
          <w:szCs w:val="20"/>
          <w:lang w:val="es-ES"/>
        </w:rPr>
        <w:t xml:space="preserve">. </w:t>
      </w:r>
      <w:r w:rsidR="00A1159C" w:rsidRPr="0033605D">
        <w:rPr>
          <w:rFonts w:ascii="Verdana" w:hAnsi="Verdana"/>
          <w:sz w:val="20"/>
          <w:szCs w:val="20"/>
          <w:lang w:val="es-ES"/>
        </w:rPr>
        <w:t>Asimismo</w:t>
      </w:r>
      <w:r w:rsidR="0034773D" w:rsidRPr="0033605D">
        <w:rPr>
          <w:rFonts w:ascii="Verdana" w:hAnsi="Verdana"/>
          <w:sz w:val="20"/>
          <w:szCs w:val="20"/>
          <w:lang w:val="es-ES"/>
        </w:rPr>
        <w:t xml:space="preserve">, </w:t>
      </w:r>
      <w:r w:rsidR="00A1159C" w:rsidRPr="0033605D">
        <w:rPr>
          <w:rFonts w:ascii="Verdana" w:hAnsi="Verdana"/>
          <w:sz w:val="20"/>
          <w:szCs w:val="20"/>
          <w:lang w:val="es-ES"/>
        </w:rPr>
        <w:t xml:space="preserve">indicó que, </w:t>
      </w:r>
      <w:r w:rsidR="006C5F7A" w:rsidRPr="0033605D">
        <w:rPr>
          <w:rFonts w:ascii="Verdana" w:hAnsi="Verdana"/>
          <w:sz w:val="20"/>
          <w:szCs w:val="20"/>
          <w:lang w:val="es-ES"/>
        </w:rPr>
        <w:t>las mujeres tienen derecho a recibir un trato digno y respetuoso en los servicios de salud reproductiva y en la atención obstétrica sin ser objeto de discriminación o violencia</w:t>
      </w:r>
      <w:r w:rsidR="006C5F7A" w:rsidRPr="0033605D">
        <w:rPr>
          <w:rStyle w:val="Refdenotaalpie"/>
          <w:rFonts w:ascii="Verdana" w:hAnsi="Verdana"/>
          <w:sz w:val="20"/>
          <w:szCs w:val="20"/>
          <w:lang w:val="es-ES"/>
        </w:rPr>
        <w:footnoteReference w:id="25"/>
      </w:r>
      <w:r w:rsidR="004D0A7D" w:rsidRPr="0033605D">
        <w:rPr>
          <w:rFonts w:ascii="Verdana" w:hAnsi="Verdana"/>
          <w:sz w:val="20"/>
          <w:szCs w:val="20"/>
          <w:lang w:val="es-ES"/>
        </w:rPr>
        <w:t xml:space="preserve">. </w:t>
      </w:r>
      <w:r w:rsidR="004E7B1B" w:rsidRPr="0033605D">
        <w:rPr>
          <w:rFonts w:ascii="Verdana" w:hAnsi="Verdana"/>
          <w:sz w:val="20"/>
          <w:szCs w:val="20"/>
          <w:lang w:val="es-ES"/>
        </w:rPr>
        <w:t xml:space="preserve"> </w:t>
      </w:r>
      <w:r w:rsidR="003506E5" w:rsidRPr="0033605D">
        <w:rPr>
          <w:rFonts w:ascii="Verdana" w:hAnsi="Verdana"/>
          <w:sz w:val="20"/>
          <w:szCs w:val="20"/>
          <w:lang w:val="es-ES"/>
        </w:rPr>
        <w:t xml:space="preserve">Lo anterior, advirtió el Tribunal, se concreta en un deber especial de protección del Estado en los eventos en los que confluyan desventajas estructurales como la condición de </w:t>
      </w:r>
      <w:r w:rsidR="00FE22E0" w:rsidRPr="0033605D">
        <w:rPr>
          <w:rFonts w:ascii="Verdana" w:hAnsi="Verdana"/>
          <w:sz w:val="20"/>
          <w:szCs w:val="20"/>
          <w:lang w:val="es-ES"/>
        </w:rPr>
        <w:t>mujer, de escasos recursos, analfabeta y habitante de una zona rural</w:t>
      </w:r>
      <w:r w:rsidR="00FE22E0" w:rsidRPr="0033605D">
        <w:rPr>
          <w:rStyle w:val="Refdenotaalpie"/>
          <w:rFonts w:ascii="Verdana" w:hAnsi="Verdana"/>
          <w:sz w:val="20"/>
          <w:szCs w:val="20"/>
          <w:lang w:val="es-ES"/>
        </w:rPr>
        <w:footnoteReference w:id="26"/>
      </w:r>
      <w:r w:rsidR="00FE22E0" w:rsidRPr="0033605D">
        <w:rPr>
          <w:rFonts w:ascii="Verdana" w:hAnsi="Verdana"/>
          <w:sz w:val="20"/>
          <w:szCs w:val="20"/>
          <w:lang w:val="es-ES"/>
        </w:rPr>
        <w:t xml:space="preserve">. </w:t>
      </w:r>
      <w:r w:rsidR="00031C76" w:rsidRPr="0033605D">
        <w:rPr>
          <w:rFonts w:ascii="Verdana" w:hAnsi="Verdana"/>
          <w:sz w:val="20"/>
          <w:szCs w:val="20"/>
          <w:lang w:val="es-ES"/>
        </w:rPr>
        <w:t>Considerando estos criterios la Corte afirmó que</w:t>
      </w:r>
      <w:r w:rsidR="004D43EF" w:rsidRPr="0033605D">
        <w:rPr>
          <w:rFonts w:ascii="Verdana" w:hAnsi="Verdana"/>
          <w:sz w:val="20"/>
          <w:szCs w:val="20"/>
          <w:lang w:val="es-ES"/>
        </w:rPr>
        <w:t>,</w:t>
      </w:r>
      <w:r w:rsidR="00031C76" w:rsidRPr="0033605D">
        <w:rPr>
          <w:rFonts w:ascii="Verdana" w:hAnsi="Verdana"/>
          <w:sz w:val="20"/>
          <w:szCs w:val="20"/>
          <w:lang w:val="es-ES"/>
        </w:rPr>
        <w:t xml:space="preserve"> </w:t>
      </w:r>
      <w:r w:rsidR="004D43EF" w:rsidRPr="0033605D">
        <w:rPr>
          <w:rFonts w:ascii="Verdana" w:hAnsi="Verdana"/>
          <w:sz w:val="20"/>
          <w:szCs w:val="20"/>
          <w:lang w:val="es-ES"/>
        </w:rPr>
        <w:t xml:space="preserve">“la ambigüedad de la legislación relativa al secreto profesional de los médicos y la obligación de denuncia del delito </w:t>
      </w:r>
      <w:r w:rsidR="00302ACE" w:rsidRPr="0033605D">
        <w:rPr>
          <w:rFonts w:ascii="Verdana" w:hAnsi="Verdana"/>
          <w:sz w:val="20"/>
          <w:szCs w:val="20"/>
          <w:lang w:val="es-ES"/>
        </w:rPr>
        <w:t>[</w:t>
      </w:r>
      <w:r w:rsidR="004D43EF" w:rsidRPr="0033605D">
        <w:rPr>
          <w:rFonts w:ascii="Verdana" w:hAnsi="Verdana"/>
          <w:sz w:val="20"/>
          <w:szCs w:val="20"/>
          <w:lang w:val="es-ES"/>
        </w:rPr>
        <w:t>de aborto</w:t>
      </w:r>
      <w:r w:rsidR="00302ACE" w:rsidRPr="0033605D">
        <w:rPr>
          <w:rFonts w:ascii="Verdana" w:hAnsi="Verdana"/>
          <w:sz w:val="20"/>
          <w:szCs w:val="20"/>
          <w:lang w:val="es-ES"/>
        </w:rPr>
        <w:t>]</w:t>
      </w:r>
      <w:r w:rsidR="004D43EF" w:rsidRPr="0033605D">
        <w:rPr>
          <w:rFonts w:ascii="Verdana" w:hAnsi="Verdana"/>
          <w:sz w:val="20"/>
          <w:szCs w:val="20"/>
          <w:lang w:val="es-ES"/>
        </w:rPr>
        <w:t xml:space="preserve"> existente en El Salvador</w:t>
      </w:r>
      <w:r w:rsidR="00302ACE" w:rsidRPr="0033605D">
        <w:rPr>
          <w:rFonts w:ascii="Verdana" w:hAnsi="Verdana"/>
          <w:sz w:val="20"/>
          <w:szCs w:val="20"/>
          <w:lang w:val="es-ES"/>
        </w:rPr>
        <w:t xml:space="preserve"> afecta de forma desproporcionada a las mujeres por tener la capacidad biológica del embarazo</w:t>
      </w:r>
      <w:r w:rsidR="004D43EF" w:rsidRPr="0033605D">
        <w:rPr>
          <w:rFonts w:ascii="Verdana" w:hAnsi="Verdana"/>
          <w:sz w:val="20"/>
          <w:szCs w:val="20"/>
          <w:lang w:val="es-ES"/>
        </w:rPr>
        <w:t>”</w:t>
      </w:r>
      <w:r w:rsidR="00302ACE" w:rsidRPr="0033605D">
        <w:rPr>
          <w:rFonts w:ascii="Verdana" w:hAnsi="Verdana"/>
          <w:sz w:val="20"/>
          <w:szCs w:val="20"/>
          <w:lang w:val="es-ES"/>
        </w:rPr>
        <w:t>, especialmente aquellas que no tienen recursos económicos para acceder a hospitales privados</w:t>
      </w:r>
      <w:r w:rsidR="00302ACE" w:rsidRPr="0033605D">
        <w:rPr>
          <w:rStyle w:val="Refdenotaalpie"/>
          <w:rFonts w:ascii="Verdana" w:hAnsi="Verdana"/>
          <w:sz w:val="20"/>
          <w:szCs w:val="20"/>
          <w:lang w:val="es-ES"/>
        </w:rPr>
        <w:footnoteReference w:id="27"/>
      </w:r>
      <w:r w:rsidR="00302ACE" w:rsidRPr="0033605D">
        <w:rPr>
          <w:rFonts w:ascii="Verdana" w:hAnsi="Verdana"/>
          <w:sz w:val="20"/>
          <w:szCs w:val="20"/>
          <w:lang w:val="es-ES"/>
        </w:rPr>
        <w:t xml:space="preserve">. </w:t>
      </w:r>
    </w:p>
    <w:p w14:paraId="56F319A7" w14:textId="7B1001B3" w:rsidR="00D27A97" w:rsidRPr="0033605D" w:rsidRDefault="001A2670"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Además, </w:t>
      </w:r>
      <w:r w:rsidR="009700B5" w:rsidRPr="0033605D">
        <w:rPr>
          <w:rFonts w:ascii="Verdana" w:hAnsi="Verdana"/>
          <w:sz w:val="20"/>
          <w:szCs w:val="20"/>
          <w:lang w:val="es-ES"/>
        </w:rPr>
        <w:t xml:space="preserve">en lo relativo a las fallas en la atención como un acto de violencia contra la mujer, </w:t>
      </w:r>
      <w:r w:rsidR="00274C3C" w:rsidRPr="0033605D">
        <w:rPr>
          <w:rFonts w:ascii="Verdana" w:hAnsi="Verdana"/>
          <w:sz w:val="20"/>
          <w:szCs w:val="20"/>
          <w:lang w:val="es-ES"/>
        </w:rPr>
        <w:t xml:space="preserve">el Tribunal consideró que </w:t>
      </w:r>
      <w:r w:rsidR="002E6CE2" w:rsidRPr="0033605D">
        <w:rPr>
          <w:rFonts w:ascii="Verdana" w:hAnsi="Verdana"/>
          <w:sz w:val="20"/>
          <w:szCs w:val="20"/>
          <w:lang w:val="es-ES"/>
        </w:rPr>
        <w:t xml:space="preserve">las </w:t>
      </w:r>
      <w:r w:rsidR="00406638" w:rsidRPr="0033605D">
        <w:rPr>
          <w:rFonts w:ascii="Verdana" w:hAnsi="Verdana"/>
          <w:sz w:val="20"/>
          <w:szCs w:val="20"/>
          <w:lang w:val="es-ES"/>
        </w:rPr>
        <w:t xml:space="preserve">falencias </w:t>
      </w:r>
      <w:r w:rsidR="002E6CE2" w:rsidRPr="0033605D">
        <w:rPr>
          <w:rFonts w:ascii="Verdana" w:hAnsi="Verdana"/>
          <w:sz w:val="20"/>
          <w:szCs w:val="20"/>
          <w:lang w:val="es-ES"/>
        </w:rPr>
        <w:t>en la atención médica recibida por Manuela</w:t>
      </w:r>
      <w:r w:rsidR="007330D6" w:rsidRPr="0033605D">
        <w:rPr>
          <w:rFonts w:ascii="Verdana" w:hAnsi="Verdana"/>
          <w:sz w:val="20"/>
          <w:szCs w:val="20"/>
          <w:lang w:val="es-ES"/>
        </w:rPr>
        <w:t xml:space="preserve"> </w:t>
      </w:r>
      <w:r w:rsidR="005130B3" w:rsidRPr="0033605D">
        <w:rPr>
          <w:rFonts w:ascii="Verdana" w:hAnsi="Verdana"/>
          <w:sz w:val="20"/>
          <w:szCs w:val="20"/>
          <w:lang w:val="es-ES"/>
        </w:rPr>
        <w:t xml:space="preserve">constituyeron </w:t>
      </w:r>
      <w:r w:rsidR="002E6CE2" w:rsidRPr="0033605D">
        <w:rPr>
          <w:rFonts w:ascii="Verdana" w:hAnsi="Verdana"/>
          <w:sz w:val="20"/>
          <w:szCs w:val="20"/>
          <w:lang w:val="es-ES"/>
        </w:rPr>
        <w:t>un acto de</w:t>
      </w:r>
      <w:r w:rsidR="00D82A86" w:rsidRPr="0033605D">
        <w:rPr>
          <w:rFonts w:ascii="Verdana" w:hAnsi="Verdana"/>
          <w:sz w:val="20"/>
          <w:szCs w:val="20"/>
          <w:lang w:val="es-ES"/>
        </w:rPr>
        <w:t xml:space="preserve"> violencia contra la mujer</w:t>
      </w:r>
      <w:r w:rsidR="00290964" w:rsidRPr="0033605D">
        <w:rPr>
          <w:rFonts w:ascii="Verdana" w:hAnsi="Verdana"/>
          <w:sz w:val="20"/>
          <w:szCs w:val="20"/>
          <w:lang w:val="es-ES"/>
        </w:rPr>
        <w:t xml:space="preserve"> prohibido por la Convención </w:t>
      </w:r>
      <w:r w:rsidR="00290964" w:rsidRPr="0033605D">
        <w:rPr>
          <w:rFonts w:ascii="Verdana" w:hAnsi="Verdana"/>
          <w:sz w:val="20"/>
          <w:szCs w:val="20"/>
          <w:lang w:val="es-ES"/>
        </w:rPr>
        <w:lastRenderedPageBreak/>
        <w:t xml:space="preserve">de Belém do Pará, pues </w:t>
      </w:r>
      <w:r w:rsidR="00CF1FB0" w:rsidRPr="0033605D">
        <w:rPr>
          <w:rFonts w:ascii="Verdana" w:hAnsi="Verdana"/>
          <w:sz w:val="20"/>
          <w:szCs w:val="20"/>
          <w:lang w:val="es-ES"/>
        </w:rPr>
        <w:t xml:space="preserve">la ambigüedad en la legislación sobre secreto </w:t>
      </w:r>
      <w:r w:rsidR="00B06497" w:rsidRPr="0033605D">
        <w:rPr>
          <w:rFonts w:ascii="Verdana" w:hAnsi="Verdana"/>
          <w:sz w:val="20"/>
          <w:szCs w:val="20"/>
          <w:lang w:val="es-ES"/>
        </w:rPr>
        <w:t>profesional</w:t>
      </w:r>
      <w:r w:rsidR="00290964" w:rsidRPr="0033605D">
        <w:rPr>
          <w:rFonts w:ascii="Verdana" w:hAnsi="Verdana"/>
          <w:sz w:val="20"/>
          <w:szCs w:val="20"/>
          <w:lang w:val="es-ES"/>
        </w:rPr>
        <w:t xml:space="preserve"> permitió </w:t>
      </w:r>
      <w:r w:rsidR="00D27A97" w:rsidRPr="0033605D">
        <w:rPr>
          <w:rFonts w:ascii="Verdana" w:hAnsi="Verdana"/>
          <w:sz w:val="20"/>
          <w:szCs w:val="20"/>
          <w:lang w:val="es-ES"/>
        </w:rPr>
        <w:t xml:space="preserve">que se priorizara la criminalización sobre la atención médica. </w:t>
      </w:r>
      <w:r w:rsidR="00493F9C" w:rsidRPr="0033605D">
        <w:rPr>
          <w:rFonts w:ascii="Verdana" w:hAnsi="Verdana"/>
          <w:sz w:val="20"/>
          <w:szCs w:val="20"/>
          <w:lang w:val="es-ES"/>
        </w:rPr>
        <w:t xml:space="preserve">Además, la Corte encontró que el Estado debía tomar medidas inmediatas para erradicar los estereotipos de género que operaban en casos como el de </w:t>
      </w:r>
      <w:r w:rsidR="003E2551" w:rsidRPr="0033605D">
        <w:rPr>
          <w:rFonts w:ascii="Verdana" w:hAnsi="Verdana"/>
          <w:sz w:val="20"/>
          <w:szCs w:val="20"/>
          <w:lang w:val="es-ES"/>
        </w:rPr>
        <w:t xml:space="preserve">Manuela </w:t>
      </w:r>
      <w:r w:rsidR="009E1917" w:rsidRPr="0033605D">
        <w:rPr>
          <w:rFonts w:ascii="Verdana" w:hAnsi="Verdana"/>
          <w:sz w:val="20"/>
          <w:szCs w:val="20"/>
          <w:lang w:val="es-ES"/>
        </w:rPr>
        <w:t>que</w:t>
      </w:r>
      <w:r w:rsidR="003E2551" w:rsidRPr="0033605D">
        <w:rPr>
          <w:rFonts w:ascii="Verdana" w:hAnsi="Verdana"/>
          <w:sz w:val="20"/>
          <w:szCs w:val="20"/>
          <w:lang w:val="es-ES"/>
        </w:rPr>
        <w:t xml:space="preserve"> “</w:t>
      </w:r>
      <w:r w:rsidR="00C46B04" w:rsidRPr="0033605D">
        <w:rPr>
          <w:rFonts w:ascii="Verdana" w:hAnsi="Verdana"/>
          <w:sz w:val="20"/>
          <w:szCs w:val="20"/>
          <w:lang w:val="es-ES"/>
        </w:rPr>
        <w:t xml:space="preserve">[…] </w:t>
      </w:r>
      <w:r w:rsidR="003E2551" w:rsidRPr="0033605D">
        <w:rPr>
          <w:rFonts w:ascii="Verdana" w:hAnsi="Verdana"/>
          <w:sz w:val="20"/>
          <w:szCs w:val="20"/>
          <w:lang w:val="es-ES"/>
        </w:rPr>
        <w:t>condicionan el valor de una mujer a ser madre y, por tanto, asumen que las mujeres que deciden no ser madres tienen menos valía que otras, o son personas indeseables. En este sentido, además, se impone a las mujeres la responsabilidad de, sin importar las circunstancias, priorizar el bienestar de sus hijos, incluso sobre su bienestar propio”</w:t>
      </w:r>
      <w:r w:rsidR="00BB481E" w:rsidRPr="0033605D">
        <w:rPr>
          <w:rStyle w:val="Refdenotaalpie"/>
          <w:rFonts w:ascii="Verdana" w:hAnsi="Verdana"/>
          <w:sz w:val="20"/>
          <w:szCs w:val="20"/>
          <w:lang w:val="es-ES"/>
        </w:rPr>
        <w:footnoteReference w:id="28"/>
      </w:r>
      <w:r w:rsidR="00BB481E" w:rsidRPr="0033605D">
        <w:rPr>
          <w:rFonts w:ascii="Verdana" w:hAnsi="Verdana"/>
          <w:sz w:val="20"/>
          <w:szCs w:val="20"/>
          <w:lang w:val="es-ES"/>
        </w:rPr>
        <w:t xml:space="preserve">. </w:t>
      </w:r>
    </w:p>
    <w:p w14:paraId="0F12C25C" w14:textId="392DB003" w:rsidR="00DE25A3" w:rsidRPr="0033605D" w:rsidRDefault="00FC4D84"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De otro lado, en el caso </w:t>
      </w:r>
      <w:r w:rsidR="0048193F" w:rsidRPr="0033605D">
        <w:rPr>
          <w:rFonts w:ascii="Verdana" w:hAnsi="Verdana"/>
          <w:i/>
          <w:iCs/>
          <w:sz w:val="20"/>
          <w:szCs w:val="20"/>
          <w:lang w:val="es-ES"/>
        </w:rPr>
        <w:t>Brítez</w:t>
      </w:r>
      <w:r w:rsidRPr="0033605D">
        <w:rPr>
          <w:rFonts w:ascii="Verdana" w:hAnsi="Verdana"/>
          <w:i/>
          <w:iCs/>
          <w:sz w:val="20"/>
          <w:szCs w:val="20"/>
          <w:lang w:val="es-ES"/>
        </w:rPr>
        <w:t xml:space="preserve"> Arce</w:t>
      </w:r>
      <w:r w:rsidR="0048193F" w:rsidRPr="0033605D">
        <w:rPr>
          <w:rFonts w:ascii="Verdana" w:hAnsi="Verdana"/>
          <w:i/>
          <w:iCs/>
          <w:sz w:val="20"/>
          <w:szCs w:val="20"/>
          <w:lang w:val="es-ES"/>
        </w:rPr>
        <w:t xml:space="preserve"> y otros</w:t>
      </w:r>
      <w:r w:rsidRPr="0033605D">
        <w:rPr>
          <w:rFonts w:ascii="Verdana" w:hAnsi="Verdana"/>
          <w:i/>
          <w:iCs/>
          <w:sz w:val="20"/>
          <w:szCs w:val="20"/>
          <w:lang w:val="es-ES"/>
        </w:rPr>
        <w:t xml:space="preserve"> </w:t>
      </w:r>
      <w:r w:rsidR="006176AD" w:rsidRPr="0033605D">
        <w:rPr>
          <w:rFonts w:ascii="Verdana" w:hAnsi="Verdana"/>
          <w:i/>
          <w:iCs/>
          <w:sz w:val="20"/>
          <w:szCs w:val="20"/>
          <w:lang w:val="es-ES"/>
        </w:rPr>
        <w:t>V</w:t>
      </w:r>
      <w:r w:rsidRPr="0033605D">
        <w:rPr>
          <w:rFonts w:ascii="Verdana" w:hAnsi="Verdana"/>
          <w:i/>
          <w:iCs/>
          <w:sz w:val="20"/>
          <w:szCs w:val="20"/>
          <w:lang w:val="es-ES"/>
        </w:rPr>
        <w:t xml:space="preserve">s. </w:t>
      </w:r>
      <w:r w:rsidR="0048193F" w:rsidRPr="0033605D">
        <w:rPr>
          <w:rFonts w:ascii="Verdana" w:hAnsi="Verdana"/>
          <w:i/>
          <w:iCs/>
          <w:sz w:val="20"/>
          <w:szCs w:val="20"/>
          <w:lang w:val="es-ES"/>
        </w:rPr>
        <w:t>Argentina</w:t>
      </w:r>
      <w:r w:rsidRPr="0033605D">
        <w:rPr>
          <w:rFonts w:ascii="Verdana" w:hAnsi="Verdana"/>
          <w:sz w:val="20"/>
          <w:szCs w:val="20"/>
          <w:lang w:val="es-ES"/>
        </w:rPr>
        <w:t xml:space="preserve">, </w:t>
      </w:r>
      <w:r w:rsidR="00354A28" w:rsidRPr="0033605D">
        <w:rPr>
          <w:rFonts w:ascii="Verdana" w:hAnsi="Verdana"/>
          <w:sz w:val="20"/>
          <w:szCs w:val="20"/>
          <w:lang w:val="es-ES"/>
        </w:rPr>
        <w:t xml:space="preserve">relativo </w:t>
      </w:r>
      <w:r w:rsidR="007F161A" w:rsidRPr="0033605D">
        <w:rPr>
          <w:rFonts w:ascii="Verdana" w:hAnsi="Verdana"/>
          <w:sz w:val="20"/>
          <w:szCs w:val="20"/>
          <w:lang w:val="es-ES"/>
        </w:rPr>
        <w:t xml:space="preserve">al trato deshumanizante y denegación de información completa sobre </w:t>
      </w:r>
      <w:r w:rsidR="007C5CE2" w:rsidRPr="0033605D">
        <w:rPr>
          <w:rFonts w:ascii="Verdana" w:hAnsi="Verdana"/>
          <w:sz w:val="20"/>
          <w:szCs w:val="20"/>
          <w:lang w:val="es-ES"/>
        </w:rPr>
        <w:t xml:space="preserve">el </w:t>
      </w:r>
      <w:r w:rsidR="007F161A" w:rsidRPr="0033605D">
        <w:rPr>
          <w:rFonts w:ascii="Verdana" w:hAnsi="Verdana"/>
          <w:sz w:val="20"/>
          <w:szCs w:val="20"/>
          <w:lang w:val="es-ES"/>
        </w:rPr>
        <w:t>estado de salud y alternativas de tratamiento de una mujer en</w:t>
      </w:r>
      <w:r w:rsidR="007E0A23" w:rsidRPr="0033605D">
        <w:rPr>
          <w:rFonts w:ascii="Verdana" w:hAnsi="Verdana"/>
          <w:sz w:val="20"/>
          <w:szCs w:val="20"/>
          <w:lang w:val="es-ES"/>
        </w:rPr>
        <w:t xml:space="preserve"> estado de embarazo</w:t>
      </w:r>
      <w:r w:rsidR="00580134" w:rsidRPr="0033605D">
        <w:rPr>
          <w:rFonts w:ascii="Verdana" w:hAnsi="Verdana"/>
          <w:sz w:val="20"/>
          <w:szCs w:val="20"/>
          <w:lang w:val="es-ES"/>
        </w:rPr>
        <w:t xml:space="preserve">, la Corte reconoció que </w:t>
      </w:r>
      <w:r w:rsidR="005B4535" w:rsidRPr="0033605D">
        <w:rPr>
          <w:rFonts w:ascii="Verdana" w:hAnsi="Verdana"/>
          <w:sz w:val="20"/>
          <w:szCs w:val="20"/>
          <w:lang w:val="es-ES"/>
        </w:rPr>
        <w:t xml:space="preserve">los derechos sexuales y reproductivos incluyen una atención especializada en el </w:t>
      </w:r>
      <w:r w:rsidR="00EC7E27" w:rsidRPr="0033605D">
        <w:rPr>
          <w:rFonts w:ascii="Verdana" w:hAnsi="Verdana"/>
          <w:sz w:val="20"/>
          <w:szCs w:val="20"/>
          <w:lang w:val="es-ES"/>
        </w:rPr>
        <w:t xml:space="preserve">embarazo, </w:t>
      </w:r>
      <w:r w:rsidR="005B4535" w:rsidRPr="0033605D">
        <w:rPr>
          <w:rFonts w:ascii="Verdana" w:hAnsi="Verdana"/>
          <w:sz w:val="20"/>
          <w:szCs w:val="20"/>
          <w:lang w:val="es-ES"/>
        </w:rPr>
        <w:t>parto y post parto</w:t>
      </w:r>
      <w:r w:rsidR="008F5746" w:rsidRPr="0033605D">
        <w:rPr>
          <w:rStyle w:val="Refdenotaalpie"/>
          <w:rFonts w:ascii="Verdana" w:hAnsi="Verdana"/>
          <w:sz w:val="20"/>
          <w:szCs w:val="20"/>
          <w:lang w:val="es-ES"/>
        </w:rPr>
        <w:footnoteReference w:id="29"/>
      </w:r>
      <w:r w:rsidR="005B4535" w:rsidRPr="0033605D">
        <w:rPr>
          <w:rFonts w:ascii="Verdana" w:hAnsi="Verdana"/>
          <w:sz w:val="20"/>
          <w:szCs w:val="20"/>
          <w:lang w:val="es-ES"/>
        </w:rPr>
        <w:t xml:space="preserve">. Además, el Tribunal </w:t>
      </w:r>
      <w:r w:rsidR="007330D6" w:rsidRPr="0033605D">
        <w:rPr>
          <w:rFonts w:ascii="Verdana" w:hAnsi="Verdana"/>
          <w:sz w:val="20"/>
          <w:szCs w:val="20"/>
          <w:lang w:val="es-ES"/>
        </w:rPr>
        <w:t>estableció</w:t>
      </w:r>
      <w:r w:rsidR="005B4535" w:rsidRPr="0033605D">
        <w:rPr>
          <w:rFonts w:ascii="Verdana" w:hAnsi="Verdana"/>
          <w:sz w:val="20"/>
          <w:szCs w:val="20"/>
          <w:lang w:val="es-ES"/>
        </w:rPr>
        <w:t xml:space="preserve"> que</w:t>
      </w:r>
      <w:r w:rsidR="00C4167A" w:rsidRPr="0033605D">
        <w:rPr>
          <w:rFonts w:ascii="Verdana" w:hAnsi="Verdana"/>
          <w:sz w:val="20"/>
          <w:szCs w:val="20"/>
          <w:lang w:val="es-ES"/>
        </w:rPr>
        <w:t xml:space="preserve"> “el trato deshumanizado, irrespetuoso, abusivo y negligente hacia las mujeres embarazadas; […] la denegación de tratamiento e información completa sobre el estado de salud y los tratamientos aplicables; […] intervenciones médicas forzadas o coaccionadas, y </w:t>
      </w:r>
      <w:r w:rsidR="008237E2" w:rsidRPr="0033605D">
        <w:rPr>
          <w:rFonts w:ascii="Verdana" w:hAnsi="Verdana"/>
          <w:sz w:val="20"/>
          <w:szCs w:val="20"/>
          <w:lang w:val="es-ES"/>
        </w:rPr>
        <w:t xml:space="preserve">[…] </w:t>
      </w:r>
      <w:r w:rsidR="00C4167A" w:rsidRPr="0033605D">
        <w:rPr>
          <w:rFonts w:ascii="Verdana" w:hAnsi="Verdana"/>
          <w:sz w:val="20"/>
          <w:szCs w:val="20"/>
          <w:lang w:val="es-ES"/>
        </w:rPr>
        <w:t>la tendencia a patologizar los procesos reproductivos naturales, entre otras manifestaciones amenazantes en el contexto de la atención de la salud durante el embarazo, parto y posparto”</w:t>
      </w:r>
      <w:r w:rsidR="00856FE2" w:rsidRPr="0033605D">
        <w:rPr>
          <w:rFonts w:ascii="Verdana" w:hAnsi="Verdana"/>
          <w:sz w:val="20"/>
          <w:szCs w:val="20"/>
          <w:lang w:val="es-ES"/>
        </w:rPr>
        <w:t xml:space="preserve"> constituyen</w:t>
      </w:r>
      <w:r w:rsidR="008F5746" w:rsidRPr="0033605D">
        <w:rPr>
          <w:rFonts w:ascii="Verdana" w:hAnsi="Verdana"/>
          <w:sz w:val="20"/>
          <w:szCs w:val="20"/>
          <w:lang w:val="es-ES"/>
        </w:rPr>
        <w:t xml:space="preserve"> </w:t>
      </w:r>
      <w:r w:rsidR="00DE25A3" w:rsidRPr="0033605D">
        <w:rPr>
          <w:rFonts w:ascii="Verdana" w:hAnsi="Verdana"/>
          <w:sz w:val="20"/>
          <w:szCs w:val="20"/>
          <w:lang w:val="es-ES"/>
        </w:rPr>
        <w:t>una forma de violencia basada en el género</w:t>
      </w:r>
      <w:r w:rsidR="00856FE2" w:rsidRPr="0033605D">
        <w:rPr>
          <w:rFonts w:ascii="Verdana" w:hAnsi="Verdana"/>
          <w:sz w:val="20"/>
          <w:szCs w:val="20"/>
          <w:lang w:val="es-ES"/>
        </w:rPr>
        <w:t xml:space="preserve"> denominada violencia obstétrica</w:t>
      </w:r>
      <w:r w:rsidR="00B06497" w:rsidRPr="0033605D">
        <w:rPr>
          <w:rStyle w:val="Refdenotaalpie"/>
          <w:rFonts w:ascii="Verdana" w:hAnsi="Verdana"/>
          <w:sz w:val="20"/>
          <w:szCs w:val="20"/>
          <w:lang w:val="es-ES"/>
        </w:rPr>
        <w:footnoteReference w:id="30"/>
      </w:r>
      <w:r w:rsidR="00DE25A3" w:rsidRPr="0033605D">
        <w:rPr>
          <w:rFonts w:ascii="Verdana" w:hAnsi="Verdana"/>
          <w:sz w:val="20"/>
          <w:szCs w:val="20"/>
          <w:lang w:val="es-ES"/>
        </w:rPr>
        <w:t xml:space="preserve">. </w:t>
      </w:r>
    </w:p>
    <w:p w14:paraId="574EE523" w14:textId="60D1D689" w:rsidR="0007625D" w:rsidRPr="0033605D" w:rsidRDefault="003702FE"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Para llegar a esta conclusión el Tribunal reiteró, como lo había afirmado en la Opinión Consultiva 29/21 refiriéndose a los derechos de las mujeres privadas de la libertad, que “</w:t>
      </w:r>
      <w:r w:rsidR="00687556" w:rsidRPr="0033605D">
        <w:rPr>
          <w:rFonts w:ascii="Verdana" w:hAnsi="Verdana"/>
          <w:sz w:val="20"/>
          <w:szCs w:val="20"/>
          <w:lang w:val="es-ES"/>
        </w:rPr>
        <w:t>los Estados tienen la obligación de proporcionar servicios de salud adecuados, especializados y diferenciados durante el embarazo, parto y en un periodo razonable después del parto, para garantizar el derecho a la salud de la madre y prevenir la mortalidad y morbilidad materna”</w:t>
      </w:r>
      <w:r w:rsidR="0077456D" w:rsidRPr="0033605D">
        <w:rPr>
          <w:rStyle w:val="Refdenotaalpie"/>
          <w:rFonts w:ascii="Verdana" w:hAnsi="Verdana"/>
          <w:sz w:val="20"/>
          <w:szCs w:val="20"/>
          <w:lang w:val="es-ES"/>
        </w:rPr>
        <w:footnoteReference w:id="31"/>
      </w:r>
      <w:r w:rsidRPr="0033605D">
        <w:rPr>
          <w:rFonts w:ascii="Verdana" w:hAnsi="Verdana"/>
          <w:sz w:val="20"/>
          <w:szCs w:val="20"/>
          <w:lang w:val="es-ES"/>
        </w:rPr>
        <w:t>.</w:t>
      </w:r>
      <w:r w:rsidR="00693D18" w:rsidRPr="0033605D">
        <w:rPr>
          <w:rFonts w:ascii="Verdana" w:hAnsi="Verdana"/>
          <w:sz w:val="20"/>
          <w:szCs w:val="20"/>
          <w:lang w:val="es-ES"/>
        </w:rPr>
        <w:t xml:space="preserve"> </w:t>
      </w:r>
      <w:r w:rsidR="0007625D" w:rsidRPr="0033605D">
        <w:rPr>
          <w:rFonts w:ascii="Verdana" w:hAnsi="Verdana"/>
          <w:sz w:val="20"/>
          <w:szCs w:val="20"/>
          <w:lang w:val="es-ES"/>
        </w:rPr>
        <w:t>Además, la Corte afirmó que</w:t>
      </w:r>
      <w:r w:rsidR="00836B47" w:rsidRPr="0033605D">
        <w:rPr>
          <w:rFonts w:ascii="Verdana" w:hAnsi="Verdana"/>
          <w:sz w:val="20"/>
          <w:szCs w:val="20"/>
          <w:lang w:val="es-ES"/>
        </w:rPr>
        <w:t xml:space="preserve"> dentro de las obligaciones internacionales mínimas que deben guiar la atención en salud, la Corte encuentra que se debe informar plenamente a las personas embarazadas, en período de posparto y en período de lactancia sobre su condición médica y asegurar el acceso a información precisa y oportuna sobre salud reproductiva y materna durante todas las etapas del embarazo, la cual debe estar basada en evidencia científica, emitirse sin sesgos, libre de estereotipos y discriminación</w:t>
      </w:r>
      <w:r w:rsidR="007736AA" w:rsidRPr="0033605D">
        <w:rPr>
          <w:rFonts w:ascii="Verdana" w:hAnsi="Verdana"/>
          <w:sz w:val="20"/>
          <w:szCs w:val="20"/>
          <w:lang w:val="es-ES"/>
        </w:rPr>
        <w:t xml:space="preserve"> […]</w:t>
      </w:r>
      <w:r w:rsidR="00836B47" w:rsidRPr="0033605D">
        <w:rPr>
          <w:rFonts w:ascii="Verdana" w:hAnsi="Verdana"/>
          <w:sz w:val="20"/>
          <w:szCs w:val="20"/>
          <w:vertAlign w:val="superscript"/>
          <w:lang w:val="es-ES"/>
        </w:rPr>
        <w:footnoteReference w:id="32"/>
      </w:r>
      <w:r w:rsidR="00836B47" w:rsidRPr="0033605D">
        <w:rPr>
          <w:rFonts w:ascii="Verdana" w:hAnsi="Verdana"/>
          <w:sz w:val="20"/>
          <w:szCs w:val="20"/>
          <w:lang w:val="es-ES"/>
        </w:rPr>
        <w:t>.</w:t>
      </w:r>
      <w:r w:rsidR="0007625D" w:rsidRPr="0033605D">
        <w:rPr>
          <w:rFonts w:ascii="Verdana" w:hAnsi="Verdana"/>
          <w:sz w:val="20"/>
          <w:szCs w:val="20"/>
          <w:lang w:val="es-ES"/>
        </w:rPr>
        <w:t xml:space="preserve"> </w:t>
      </w:r>
    </w:p>
    <w:p w14:paraId="34E18269" w14:textId="3C59FED5" w:rsidR="00501EAC" w:rsidRPr="0033605D" w:rsidRDefault="00200B0A"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Esta </w:t>
      </w:r>
      <w:r w:rsidR="00C639EF" w:rsidRPr="0033605D">
        <w:rPr>
          <w:rFonts w:ascii="Verdana" w:hAnsi="Verdana"/>
          <w:sz w:val="20"/>
          <w:szCs w:val="20"/>
          <w:lang w:val="es-ES"/>
        </w:rPr>
        <w:t xml:space="preserve">interpretación fue reiterada por el Tribunal en el </w:t>
      </w:r>
      <w:r w:rsidR="00C639EF" w:rsidRPr="0033605D">
        <w:rPr>
          <w:rFonts w:ascii="Verdana" w:hAnsi="Verdana"/>
          <w:i/>
          <w:iCs/>
          <w:sz w:val="20"/>
          <w:szCs w:val="20"/>
          <w:lang w:val="es-ES"/>
        </w:rPr>
        <w:t xml:space="preserve">caso </w:t>
      </w:r>
      <w:r w:rsidR="0071358D" w:rsidRPr="0033605D">
        <w:rPr>
          <w:rFonts w:ascii="Verdana" w:hAnsi="Verdana"/>
          <w:i/>
          <w:iCs/>
          <w:sz w:val="20"/>
          <w:szCs w:val="20"/>
          <w:lang w:val="es-ES"/>
        </w:rPr>
        <w:t xml:space="preserve">María </w:t>
      </w:r>
      <w:r w:rsidR="004E4BA5" w:rsidRPr="0033605D">
        <w:rPr>
          <w:rFonts w:ascii="Verdana" w:hAnsi="Verdana"/>
          <w:i/>
          <w:iCs/>
          <w:sz w:val="20"/>
          <w:szCs w:val="20"/>
          <w:lang w:val="es-ES"/>
        </w:rPr>
        <w:t xml:space="preserve">y otros </w:t>
      </w:r>
      <w:r w:rsidR="006176AD" w:rsidRPr="0033605D">
        <w:rPr>
          <w:rFonts w:ascii="Verdana" w:hAnsi="Verdana"/>
          <w:i/>
          <w:iCs/>
          <w:sz w:val="20"/>
          <w:szCs w:val="20"/>
          <w:lang w:val="es-ES"/>
        </w:rPr>
        <w:t>V</w:t>
      </w:r>
      <w:r w:rsidR="00C639EF" w:rsidRPr="0033605D">
        <w:rPr>
          <w:rFonts w:ascii="Verdana" w:hAnsi="Verdana"/>
          <w:i/>
          <w:iCs/>
          <w:sz w:val="20"/>
          <w:szCs w:val="20"/>
          <w:lang w:val="es-ES"/>
        </w:rPr>
        <w:t>s. Argentina,</w:t>
      </w:r>
      <w:r w:rsidR="00C639EF" w:rsidRPr="0033605D">
        <w:rPr>
          <w:rFonts w:ascii="Verdana" w:hAnsi="Verdana"/>
          <w:sz w:val="20"/>
          <w:szCs w:val="20"/>
          <w:lang w:val="es-ES"/>
        </w:rPr>
        <w:t xml:space="preserve"> relativo a </w:t>
      </w:r>
      <w:r w:rsidR="002F3264" w:rsidRPr="0033605D">
        <w:rPr>
          <w:rFonts w:ascii="Verdana" w:hAnsi="Verdana"/>
          <w:sz w:val="20"/>
          <w:szCs w:val="20"/>
          <w:lang w:val="es-ES"/>
        </w:rPr>
        <w:t xml:space="preserve">la adopción irregular de un niño cuya madre </w:t>
      </w:r>
      <w:r w:rsidR="00875BD1" w:rsidRPr="0033605D">
        <w:rPr>
          <w:rFonts w:ascii="Verdana" w:hAnsi="Verdana"/>
          <w:sz w:val="20"/>
          <w:szCs w:val="20"/>
          <w:lang w:val="es-ES"/>
        </w:rPr>
        <w:t xml:space="preserve">tenía 13 </w:t>
      </w:r>
      <w:proofErr w:type="gramStart"/>
      <w:r w:rsidR="00875BD1" w:rsidRPr="0033605D">
        <w:rPr>
          <w:rFonts w:ascii="Verdana" w:hAnsi="Verdana"/>
          <w:sz w:val="20"/>
          <w:szCs w:val="20"/>
          <w:lang w:val="es-ES"/>
        </w:rPr>
        <w:t>años de edad</w:t>
      </w:r>
      <w:proofErr w:type="gramEnd"/>
      <w:r w:rsidR="008E2DEA" w:rsidRPr="0033605D">
        <w:rPr>
          <w:rFonts w:ascii="Verdana" w:hAnsi="Verdana"/>
          <w:sz w:val="20"/>
          <w:szCs w:val="20"/>
          <w:lang w:val="es-ES"/>
        </w:rPr>
        <w:t xml:space="preserve">. En </w:t>
      </w:r>
      <w:r w:rsidR="004E4BA5" w:rsidRPr="0033605D">
        <w:rPr>
          <w:rFonts w:ascii="Verdana" w:hAnsi="Verdana"/>
          <w:sz w:val="20"/>
          <w:szCs w:val="20"/>
          <w:lang w:val="es-ES"/>
        </w:rPr>
        <w:t xml:space="preserve">este caso </w:t>
      </w:r>
      <w:r w:rsidR="00875BD1" w:rsidRPr="0033605D">
        <w:rPr>
          <w:rFonts w:ascii="Verdana" w:hAnsi="Verdana"/>
          <w:sz w:val="20"/>
          <w:szCs w:val="20"/>
          <w:lang w:val="es-ES"/>
        </w:rPr>
        <w:t>la Corte sostuvo que</w:t>
      </w:r>
      <w:r w:rsidR="00105DFE" w:rsidRPr="0033605D">
        <w:rPr>
          <w:rFonts w:ascii="Verdana" w:hAnsi="Verdana"/>
          <w:sz w:val="20"/>
          <w:szCs w:val="20"/>
          <w:lang w:val="es-ES"/>
        </w:rPr>
        <w:t xml:space="preserve"> </w:t>
      </w:r>
      <w:r w:rsidR="00746120" w:rsidRPr="0033605D">
        <w:rPr>
          <w:rFonts w:ascii="Verdana" w:hAnsi="Verdana"/>
          <w:sz w:val="20"/>
          <w:szCs w:val="20"/>
          <w:lang w:val="es-ES"/>
        </w:rPr>
        <w:t xml:space="preserve">las condiciones en las que </w:t>
      </w:r>
      <w:r w:rsidR="00641D46" w:rsidRPr="0033605D">
        <w:rPr>
          <w:rFonts w:ascii="Verdana" w:hAnsi="Verdana"/>
          <w:sz w:val="20"/>
          <w:szCs w:val="20"/>
          <w:lang w:val="es-ES"/>
        </w:rPr>
        <w:t xml:space="preserve">María </w:t>
      </w:r>
      <w:r w:rsidR="00746120" w:rsidRPr="0033605D">
        <w:rPr>
          <w:rFonts w:ascii="Verdana" w:hAnsi="Verdana"/>
          <w:sz w:val="20"/>
          <w:szCs w:val="20"/>
          <w:lang w:val="es-ES"/>
        </w:rPr>
        <w:t xml:space="preserve">fue obligada a </w:t>
      </w:r>
      <w:r w:rsidR="00105DFE" w:rsidRPr="0033605D">
        <w:rPr>
          <w:rFonts w:ascii="Verdana" w:hAnsi="Verdana"/>
          <w:sz w:val="20"/>
          <w:szCs w:val="20"/>
          <w:lang w:val="es-ES"/>
        </w:rPr>
        <w:t xml:space="preserve">dar a luz, sin información </w:t>
      </w:r>
      <w:r w:rsidR="002701CE" w:rsidRPr="0033605D">
        <w:rPr>
          <w:rFonts w:ascii="Verdana" w:hAnsi="Verdana"/>
          <w:sz w:val="20"/>
          <w:szCs w:val="20"/>
          <w:lang w:val="es-ES"/>
        </w:rPr>
        <w:t>suficiente y sin la</w:t>
      </w:r>
      <w:r w:rsidR="00105DFE" w:rsidRPr="0033605D">
        <w:rPr>
          <w:rFonts w:ascii="Verdana" w:hAnsi="Verdana"/>
          <w:sz w:val="20"/>
          <w:szCs w:val="20"/>
          <w:lang w:val="es-ES"/>
        </w:rPr>
        <w:t xml:space="preserve"> compañía de su madre, así como la manera en </w:t>
      </w:r>
      <w:r w:rsidR="00105DFE" w:rsidRPr="0033605D">
        <w:rPr>
          <w:rFonts w:ascii="Verdana" w:hAnsi="Verdana"/>
          <w:sz w:val="20"/>
          <w:szCs w:val="20"/>
          <w:lang w:val="es-ES"/>
        </w:rPr>
        <w:lastRenderedPageBreak/>
        <w:t xml:space="preserve">que </w:t>
      </w:r>
      <w:r w:rsidR="00746120" w:rsidRPr="0033605D">
        <w:rPr>
          <w:rFonts w:ascii="Verdana" w:hAnsi="Verdana"/>
          <w:sz w:val="20"/>
          <w:szCs w:val="20"/>
          <w:lang w:val="es-ES"/>
        </w:rPr>
        <w:t xml:space="preserve">fue forzada a dar </w:t>
      </w:r>
      <w:r w:rsidR="00EC7E27" w:rsidRPr="0033605D">
        <w:rPr>
          <w:rFonts w:ascii="Verdana" w:hAnsi="Verdana"/>
          <w:sz w:val="20"/>
          <w:szCs w:val="20"/>
          <w:lang w:val="es-ES"/>
        </w:rPr>
        <w:t xml:space="preserve">su </w:t>
      </w:r>
      <w:r w:rsidR="00746120" w:rsidRPr="0033605D">
        <w:rPr>
          <w:rFonts w:ascii="Verdana" w:hAnsi="Verdana"/>
          <w:sz w:val="20"/>
          <w:szCs w:val="20"/>
          <w:lang w:val="es-ES"/>
        </w:rPr>
        <w:t>consentimiento para la adopción</w:t>
      </w:r>
      <w:r w:rsidR="008628F4" w:rsidRPr="0033605D">
        <w:rPr>
          <w:rFonts w:ascii="Verdana" w:hAnsi="Verdana"/>
          <w:sz w:val="20"/>
          <w:szCs w:val="20"/>
          <w:lang w:val="es-ES"/>
        </w:rPr>
        <w:t xml:space="preserve">, </w:t>
      </w:r>
      <w:r w:rsidR="008E2DEA" w:rsidRPr="0033605D">
        <w:rPr>
          <w:rFonts w:ascii="Verdana" w:hAnsi="Verdana"/>
          <w:sz w:val="20"/>
          <w:szCs w:val="20"/>
          <w:lang w:val="es-ES"/>
        </w:rPr>
        <w:t xml:space="preserve">constituyó violencia obstétrica. </w:t>
      </w:r>
      <w:r w:rsidR="00BB471A" w:rsidRPr="0033605D">
        <w:rPr>
          <w:rFonts w:ascii="Verdana" w:hAnsi="Verdana"/>
          <w:sz w:val="20"/>
          <w:szCs w:val="20"/>
          <w:lang w:val="es-ES"/>
        </w:rPr>
        <w:t>I</w:t>
      </w:r>
      <w:r w:rsidR="008842A3" w:rsidRPr="0033605D">
        <w:rPr>
          <w:rFonts w:ascii="Verdana" w:hAnsi="Verdana"/>
          <w:sz w:val="20"/>
          <w:szCs w:val="20"/>
          <w:lang w:val="es-ES"/>
        </w:rPr>
        <w:t xml:space="preserve">gualmente, “[…] </w:t>
      </w:r>
      <w:r w:rsidR="00746120" w:rsidRPr="0033605D">
        <w:rPr>
          <w:rFonts w:ascii="Verdana" w:hAnsi="Verdana"/>
          <w:sz w:val="20"/>
          <w:szCs w:val="20"/>
          <w:lang w:val="es-ES"/>
        </w:rPr>
        <w:t>en virtud de lo dispuesto en el artículo 7 de la Convención de Belém do Pará, la Corte rec</w:t>
      </w:r>
      <w:r w:rsidR="00247C7D" w:rsidRPr="0033605D">
        <w:rPr>
          <w:rFonts w:ascii="Verdana" w:hAnsi="Verdana"/>
          <w:sz w:val="20"/>
          <w:szCs w:val="20"/>
          <w:lang w:val="es-ES"/>
        </w:rPr>
        <w:t>[ordó]</w:t>
      </w:r>
      <w:r w:rsidR="00746120" w:rsidRPr="0033605D">
        <w:rPr>
          <w:rFonts w:ascii="Verdana" w:hAnsi="Verdana"/>
          <w:sz w:val="20"/>
          <w:szCs w:val="20"/>
          <w:lang w:val="es-ES"/>
        </w:rPr>
        <w:t xml:space="preserve"> que los Estados tienen el deber de prevenir, sancionar y erradicar la violencia contra las mujeres, para lo cual deben abstenerse de incurrir en actos constitutivos de violencia de género, incluidos aquellos que ocurran durante el acceso a servicios de salud reproductiva</w:t>
      </w:r>
      <w:r w:rsidR="00247C7D" w:rsidRPr="0033605D">
        <w:rPr>
          <w:rFonts w:ascii="Verdana" w:hAnsi="Verdana"/>
          <w:sz w:val="20"/>
          <w:szCs w:val="20"/>
          <w:lang w:val="es-ES"/>
        </w:rPr>
        <w:t>”</w:t>
      </w:r>
      <w:r w:rsidR="00746120" w:rsidRPr="0033605D">
        <w:rPr>
          <w:rStyle w:val="Refdenotaalpie"/>
          <w:rFonts w:ascii="Verdana" w:hAnsi="Verdana"/>
          <w:sz w:val="20"/>
          <w:szCs w:val="20"/>
          <w:lang w:val="es-ES"/>
        </w:rPr>
        <w:footnoteReference w:id="33"/>
      </w:r>
      <w:r w:rsidR="00247C7D" w:rsidRPr="0033605D">
        <w:rPr>
          <w:rFonts w:ascii="Verdana" w:hAnsi="Verdana"/>
          <w:sz w:val="20"/>
          <w:szCs w:val="20"/>
          <w:lang w:val="es-ES"/>
        </w:rPr>
        <w:t>.</w:t>
      </w:r>
      <w:r w:rsidR="004E4BA5" w:rsidRPr="0033605D">
        <w:rPr>
          <w:rFonts w:ascii="Verdana" w:hAnsi="Verdana"/>
          <w:sz w:val="20"/>
          <w:szCs w:val="20"/>
          <w:lang w:val="es-ES"/>
        </w:rPr>
        <w:t xml:space="preserve"> </w:t>
      </w:r>
    </w:p>
    <w:p w14:paraId="30E860E1" w14:textId="4702F61A" w:rsidR="005559BE" w:rsidRPr="0033605D" w:rsidRDefault="004E4BA5"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De la misma forma, en el </w:t>
      </w:r>
      <w:r w:rsidRPr="0033605D">
        <w:rPr>
          <w:rFonts w:ascii="Verdana" w:hAnsi="Verdana"/>
          <w:i/>
          <w:iCs/>
          <w:sz w:val="20"/>
          <w:szCs w:val="20"/>
          <w:lang w:val="es-ES"/>
        </w:rPr>
        <w:t xml:space="preserve">caso </w:t>
      </w:r>
      <w:r w:rsidR="00480DE2" w:rsidRPr="0033605D">
        <w:rPr>
          <w:rFonts w:ascii="Verdana" w:hAnsi="Verdana"/>
          <w:i/>
          <w:iCs/>
          <w:sz w:val="20"/>
          <w:szCs w:val="20"/>
        </w:rPr>
        <w:t>Rodríguez </w:t>
      </w:r>
      <w:r w:rsidR="00047CE3" w:rsidRPr="0033605D">
        <w:rPr>
          <w:rFonts w:ascii="Verdana" w:hAnsi="Verdana"/>
          <w:i/>
          <w:iCs/>
          <w:sz w:val="20"/>
          <w:szCs w:val="20"/>
          <w:lang w:val="es-ES"/>
        </w:rPr>
        <w:t>Pacheco</w:t>
      </w:r>
      <w:r w:rsidRPr="0033605D">
        <w:rPr>
          <w:rFonts w:ascii="Verdana" w:hAnsi="Verdana"/>
          <w:i/>
          <w:iCs/>
          <w:sz w:val="20"/>
          <w:szCs w:val="20"/>
          <w:lang w:val="es-ES"/>
        </w:rPr>
        <w:t xml:space="preserve"> </w:t>
      </w:r>
      <w:r w:rsidR="00242ADE" w:rsidRPr="0033605D">
        <w:rPr>
          <w:rFonts w:ascii="Verdana" w:hAnsi="Verdana"/>
          <w:i/>
          <w:iCs/>
          <w:sz w:val="20"/>
          <w:szCs w:val="20"/>
          <w:lang w:val="es-ES"/>
        </w:rPr>
        <w:t xml:space="preserve">y otra </w:t>
      </w:r>
      <w:r w:rsidR="006176AD" w:rsidRPr="0033605D">
        <w:rPr>
          <w:rFonts w:ascii="Verdana" w:hAnsi="Verdana"/>
          <w:i/>
          <w:iCs/>
          <w:sz w:val="20"/>
          <w:szCs w:val="20"/>
          <w:lang w:val="es-ES"/>
        </w:rPr>
        <w:t>V</w:t>
      </w:r>
      <w:r w:rsidRPr="0033605D">
        <w:rPr>
          <w:rFonts w:ascii="Verdana" w:hAnsi="Verdana"/>
          <w:i/>
          <w:iCs/>
          <w:sz w:val="20"/>
          <w:szCs w:val="20"/>
          <w:lang w:val="es-ES"/>
        </w:rPr>
        <w:t>s.</w:t>
      </w:r>
      <w:r w:rsidR="00242ADE" w:rsidRPr="0033605D">
        <w:rPr>
          <w:rFonts w:ascii="Verdana" w:hAnsi="Verdana"/>
          <w:i/>
          <w:iCs/>
          <w:sz w:val="20"/>
          <w:szCs w:val="20"/>
          <w:lang w:val="es-ES"/>
        </w:rPr>
        <w:t xml:space="preserve"> Venezuela</w:t>
      </w:r>
      <w:r w:rsidR="00242ADE" w:rsidRPr="0033605D">
        <w:rPr>
          <w:rFonts w:ascii="Verdana" w:hAnsi="Verdana"/>
          <w:sz w:val="20"/>
          <w:szCs w:val="20"/>
          <w:lang w:val="es-ES"/>
        </w:rPr>
        <w:t xml:space="preserve">, relativo a </w:t>
      </w:r>
      <w:r w:rsidR="002F5887" w:rsidRPr="0033605D">
        <w:rPr>
          <w:rFonts w:ascii="Verdana" w:hAnsi="Verdana"/>
          <w:sz w:val="20"/>
          <w:szCs w:val="20"/>
          <w:lang w:val="es-ES"/>
        </w:rPr>
        <w:t xml:space="preserve">la falta de investigación de actos de </w:t>
      </w:r>
      <w:r w:rsidR="00A41931" w:rsidRPr="0033605D">
        <w:rPr>
          <w:rFonts w:ascii="Verdana" w:hAnsi="Verdana"/>
          <w:sz w:val="20"/>
          <w:szCs w:val="20"/>
          <w:lang w:val="es-ES"/>
        </w:rPr>
        <w:t xml:space="preserve">mala praxis médica en el marco de una </w:t>
      </w:r>
      <w:r w:rsidR="000760B3" w:rsidRPr="0033605D">
        <w:rPr>
          <w:rFonts w:ascii="Verdana" w:hAnsi="Verdana"/>
          <w:sz w:val="20"/>
          <w:szCs w:val="20"/>
          <w:lang w:val="es-ES"/>
        </w:rPr>
        <w:t>cesárea</w:t>
      </w:r>
      <w:r w:rsidR="00A41931" w:rsidRPr="0033605D">
        <w:rPr>
          <w:rFonts w:ascii="Verdana" w:hAnsi="Verdana"/>
          <w:sz w:val="20"/>
          <w:szCs w:val="20"/>
          <w:lang w:val="es-ES"/>
        </w:rPr>
        <w:t xml:space="preserve">, la Corte se refirió al alcance del derecho de acceso a la justicia en materia de salud sexual y reproductiva. Siguiendo la postura de los casos </w:t>
      </w:r>
      <w:r w:rsidR="00A41931" w:rsidRPr="0033605D">
        <w:rPr>
          <w:rFonts w:ascii="Verdana" w:hAnsi="Verdana"/>
          <w:i/>
          <w:iCs/>
          <w:sz w:val="20"/>
          <w:szCs w:val="20"/>
          <w:lang w:val="es-ES"/>
        </w:rPr>
        <w:t>Brítez</w:t>
      </w:r>
      <w:r w:rsidR="00D44FB9" w:rsidRPr="0033605D">
        <w:rPr>
          <w:rFonts w:ascii="Verdana" w:hAnsi="Verdana"/>
          <w:i/>
          <w:iCs/>
          <w:sz w:val="20"/>
          <w:szCs w:val="20"/>
          <w:lang w:val="es-ES"/>
        </w:rPr>
        <w:t xml:space="preserve"> Arce</w:t>
      </w:r>
      <w:r w:rsidR="00A41931" w:rsidRPr="0033605D">
        <w:rPr>
          <w:rFonts w:ascii="Verdana" w:hAnsi="Verdana"/>
          <w:sz w:val="20"/>
          <w:szCs w:val="20"/>
          <w:lang w:val="es-ES"/>
        </w:rPr>
        <w:t xml:space="preserve"> y </w:t>
      </w:r>
      <w:r w:rsidR="00A41931" w:rsidRPr="0033605D">
        <w:rPr>
          <w:rFonts w:ascii="Verdana" w:hAnsi="Verdana"/>
          <w:i/>
          <w:iCs/>
          <w:sz w:val="20"/>
          <w:szCs w:val="20"/>
          <w:lang w:val="es-ES"/>
        </w:rPr>
        <w:t>María</w:t>
      </w:r>
      <w:r w:rsidR="00A41931" w:rsidRPr="0033605D">
        <w:rPr>
          <w:rFonts w:ascii="Verdana" w:hAnsi="Verdana"/>
          <w:sz w:val="20"/>
          <w:szCs w:val="20"/>
          <w:lang w:val="es-ES"/>
        </w:rPr>
        <w:t xml:space="preserve"> </w:t>
      </w:r>
      <w:r w:rsidR="009C16CD" w:rsidRPr="0033605D">
        <w:rPr>
          <w:rFonts w:ascii="Verdana" w:hAnsi="Verdana"/>
          <w:sz w:val="20"/>
          <w:szCs w:val="20"/>
          <w:lang w:val="es-ES"/>
        </w:rPr>
        <w:t xml:space="preserve">sobre violencia obstétrica, </w:t>
      </w:r>
      <w:r w:rsidR="00C46B04" w:rsidRPr="0033605D">
        <w:rPr>
          <w:rFonts w:ascii="Verdana" w:hAnsi="Verdana"/>
          <w:sz w:val="20"/>
          <w:szCs w:val="20"/>
          <w:lang w:val="es-ES"/>
        </w:rPr>
        <w:t xml:space="preserve">la Corte </w:t>
      </w:r>
      <w:r w:rsidR="009C16CD" w:rsidRPr="0033605D">
        <w:rPr>
          <w:rFonts w:ascii="Verdana" w:hAnsi="Verdana"/>
          <w:sz w:val="20"/>
          <w:szCs w:val="20"/>
          <w:lang w:val="es-ES"/>
        </w:rPr>
        <w:t xml:space="preserve">afirmó que </w:t>
      </w:r>
      <w:r w:rsidR="00C46B04" w:rsidRPr="0033605D">
        <w:rPr>
          <w:rFonts w:ascii="Verdana" w:hAnsi="Verdana"/>
          <w:sz w:val="20"/>
          <w:szCs w:val="20"/>
          <w:lang w:val="es-ES"/>
        </w:rPr>
        <w:t xml:space="preserve">la </w:t>
      </w:r>
      <w:r w:rsidR="009C16CD" w:rsidRPr="0033605D">
        <w:rPr>
          <w:rFonts w:ascii="Verdana" w:hAnsi="Verdana"/>
          <w:sz w:val="20"/>
          <w:szCs w:val="20"/>
          <w:lang w:val="es-ES"/>
        </w:rPr>
        <w:t>“</w:t>
      </w:r>
      <w:r w:rsidR="005559BE" w:rsidRPr="0033605D">
        <w:rPr>
          <w:rFonts w:ascii="Verdana" w:hAnsi="Verdana"/>
          <w:sz w:val="20"/>
          <w:szCs w:val="20"/>
          <w:lang w:val="es-ES"/>
        </w:rPr>
        <w:t>protección de los derechos de las mujeres a través del acceso a recursos oportunos, adecuados y efectivos para remediar estas violaciones de forma integral y evitar la recurrencia de estos hechos en el futuro resulta de suma relevancia si se toma en consideración, además, que hoy en día, en el marco de la atención médica y el acceso a los servicios de salud, las mujeres siguen siendo vulnerables a sufrir violaciones a sus derechos sexuales y reproductivos, en la mayoría de los casos a través de prácticas discriminatorias que son consecuencia de la aplicación de estereotipos en su perjuicio</w:t>
      </w:r>
      <w:r w:rsidR="009C16CD" w:rsidRPr="0033605D">
        <w:rPr>
          <w:rFonts w:ascii="Verdana" w:hAnsi="Verdana"/>
          <w:sz w:val="20"/>
          <w:szCs w:val="20"/>
          <w:lang w:val="es-ES"/>
        </w:rPr>
        <w:t>”</w:t>
      </w:r>
      <w:r w:rsidRPr="0033605D">
        <w:rPr>
          <w:rStyle w:val="Refdenotaalpie"/>
          <w:rFonts w:ascii="Verdana" w:hAnsi="Verdana"/>
          <w:sz w:val="20"/>
          <w:szCs w:val="20"/>
          <w:lang w:val="es-ES"/>
        </w:rPr>
        <w:footnoteReference w:id="34"/>
      </w:r>
      <w:r w:rsidR="00B9092D" w:rsidRPr="0033605D">
        <w:rPr>
          <w:rFonts w:ascii="Verdana" w:hAnsi="Verdana"/>
          <w:sz w:val="20"/>
          <w:szCs w:val="20"/>
          <w:lang w:val="es-ES"/>
        </w:rPr>
        <w:t xml:space="preserve">. </w:t>
      </w:r>
    </w:p>
    <w:p w14:paraId="0A951D90" w14:textId="24D10824" w:rsidR="00B61F17" w:rsidRPr="0033605D" w:rsidRDefault="00480DE2"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conclusión, </w:t>
      </w:r>
      <w:r w:rsidR="005F0BA6" w:rsidRPr="0033605D">
        <w:rPr>
          <w:rFonts w:ascii="Verdana" w:hAnsi="Verdana"/>
          <w:sz w:val="20"/>
          <w:szCs w:val="20"/>
          <w:lang w:val="es-ES"/>
        </w:rPr>
        <w:t xml:space="preserve">la Corte tiene una sólida línea jurisprudencial en </w:t>
      </w:r>
      <w:r w:rsidR="00785B33" w:rsidRPr="0033605D">
        <w:rPr>
          <w:rFonts w:ascii="Verdana" w:hAnsi="Verdana"/>
          <w:sz w:val="20"/>
          <w:szCs w:val="20"/>
          <w:lang w:val="es-ES"/>
        </w:rPr>
        <w:t>la que ha reconocido que los</w:t>
      </w:r>
      <w:r w:rsidR="005F0BA6" w:rsidRPr="0033605D">
        <w:rPr>
          <w:rFonts w:ascii="Verdana" w:hAnsi="Verdana"/>
          <w:sz w:val="20"/>
          <w:szCs w:val="20"/>
          <w:lang w:val="es-ES"/>
        </w:rPr>
        <w:t xml:space="preserve"> derechos sexuales y reproductivos se encuentran protegidos por</w:t>
      </w:r>
      <w:r w:rsidR="00037D2C" w:rsidRPr="0033605D">
        <w:rPr>
          <w:rFonts w:ascii="Verdana" w:hAnsi="Verdana"/>
          <w:sz w:val="20"/>
          <w:szCs w:val="20"/>
          <w:lang w:val="es-ES"/>
        </w:rPr>
        <w:t xml:space="preserve"> los</w:t>
      </w:r>
      <w:r w:rsidR="00785B33" w:rsidRPr="0033605D">
        <w:rPr>
          <w:rFonts w:ascii="Verdana" w:hAnsi="Verdana"/>
          <w:sz w:val="20"/>
          <w:szCs w:val="20"/>
          <w:lang w:val="es-ES"/>
        </w:rPr>
        <w:t xml:space="preserve"> artículos 1.1, 4, 5, 7, 11, 24 y 26 de</w:t>
      </w:r>
      <w:r w:rsidR="005F0BA6" w:rsidRPr="0033605D">
        <w:rPr>
          <w:rFonts w:ascii="Verdana" w:hAnsi="Verdana"/>
          <w:sz w:val="20"/>
          <w:szCs w:val="20"/>
          <w:lang w:val="es-ES"/>
        </w:rPr>
        <w:t xml:space="preserve"> la Convención Americana. </w:t>
      </w:r>
      <w:r w:rsidR="00B61F17" w:rsidRPr="0033605D">
        <w:rPr>
          <w:rFonts w:ascii="Verdana" w:hAnsi="Verdana"/>
          <w:sz w:val="20"/>
          <w:szCs w:val="20"/>
          <w:lang w:val="es-ES"/>
        </w:rPr>
        <w:t>Además</w:t>
      </w:r>
      <w:r w:rsidR="005E7689" w:rsidRPr="0033605D">
        <w:rPr>
          <w:rFonts w:ascii="Verdana" w:hAnsi="Verdana"/>
          <w:sz w:val="20"/>
          <w:szCs w:val="20"/>
          <w:lang w:val="es-ES"/>
        </w:rPr>
        <w:t>,</w:t>
      </w:r>
      <w:r w:rsidR="00B61F17" w:rsidRPr="0033605D">
        <w:rPr>
          <w:rFonts w:ascii="Verdana" w:hAnsi="Verdana"/>
          <w:sz w:val="20"/>
          <w:szCs w:val="20"/>
          <w:lang w:val="es-ES"/>
        </w:rPr>
        <w:t xml:space="preserve"> ha señalado que el incumplimiento de las obligaciones de respeto y garantía frente a estos derechos puede suponer un acto de discriminación y de violencia de género</w:t>
      </w:r>
      <w:r w:rsidR="00037D2C" w:rsidRPr="0033605D">
        <w:rPr>
          <w:rFonts w:ascii="Verdana" w:hAnsi="Verdana"/>
          <w:sz w:val="20"/>
          <w:szCs w:val="20"/>
          <w:lang w:val="es-ES"/>
        </w:rPr>
        <w:t xml:space="preserve"> contrario a la Convención de Belém do Pará</w:t>
      </w:r>
      <w:r w:rsidR="00B61F17" w:rsidRPr="0033605D">
        <w:rPr>
          <w:rFonts w:ascii="Verdana" w:hAnsi="Verdana"/>
          <w:sz w:val="20"/>
          <w:szCs w:val="20"/>
          <w:lang w:val="es-ES"/>
        </w:rPr>
        <w:t xml:space="preserve">. En particular en los casos </w:t>
      </w:r>
      <w:r w:rsidR="00B61F17" w:rsidRPr="0033605D">
        <w:rPr>
          <w:rFonts w:ascii="Verdana" w:hAnsi="Verdana"/>
          <w:i/>
          <w:iCs/>
          <w:sz w:val="20"/>
          <w:szCs w:val="20"/>
          <w:lang w:val="es-ES"/>
        </w:rPr>
        <w:t>Artavia Murillo</w:t>
      </w:r>
      <w:r w:rsidR="00B61F17" w:rsidRPr="0033605D">
        <w:rPr>
          <w:rFonts w:ascii="Verdana" w:hAnsi="Verdana"/>
          <w:sz w:val="20"/>
          <w:szCs w:val="20"/>
          <w:lang w:val="es-ES"/>
        </w:rPr>
        <w:t xml:space="preserve"> e </w:t>
      </w:r>
      <w:r w:rsidR="00B61F17" w:rsidRPr="0033605D">
        <w:rPr>
          <w:rFonts w:ascii="Verdana" w:hAnsi="Verdana"/>
          <w:i/>
          <w:iCs/>
          <w:sz w:val="20"/>
          <w:szCs w:val="20"/>
          <w:lang w:val="es-ES"/>
        </w:rPr>
        <w:t>I</w:t>
      </w:r>
      <w:r w:rsidR="005E7689" w:rsidRPr="0033605D">
        <w:rPr>
          <w:rFonts w:ascii="Verdana" w:hAnsi="Verdana"/>
          <w:i/>
          <w:iCs/>
          <w:sz w:val="20"/>
          <w:szCs w:val="20"/>
          <w:lang w:val="es-ES"/>
        </w:rPr>
        <w:t>.V.</w:t>
      </w:r>
      <w:r w:rsidR="005E7689" w:rsidRPr="0033605D">
        <w:rPr>
          <w:rFonts w:ascii="Verdana" w:hAnsi="Verdana"/>
          <w:sz w:val="20"/>
          <w:szCs w:val="20"/>
          <w:lang w:val="es-ES"/>
        </w:rPr>
        <w:t xml:space="preserve"> la Corte desarrolló la noción de </w:t>
      </w:r>
      <w:r w:rsidR="00AF40F2" w:rsidRPr="0033605D">
        <w:rPr>
          <w:rFonts w:ascii="Verdana" w:hAnsi="Verdana"/>
          <w:sz w:val="20"/>
          <w:szCs w:val="20"/>
          <w:lang w:val="es-ES"/>
        </w:rPr>
        <w:t>autonomía reproductiva</w:t>
      </w:r>
      <w:r w:rsidR="00CB2D29" w:rsidRPr="0033605D">
        <w:rPr>
          <w:rFonts w:ascii="Verdana" w:hAnsi="Verdana"/>
          <w:sz w:val="20"/>
          <w:szCs w:val="20"/>
          <w:lang w:val="es-ES"/>
        </w:rPr>
        <w:t>, y su alcance diferenciado respecto de las mujeres,</w:t>
      </w:r>
      <w:r w:rsidR="00275B11" w:rsidRPr="0033605D">
        <w:rPr>
          <w:rFonts w:ascii="Verdana" w:hAnsi="Verdana"/>
          <w:sz w:val="20"/>
          <w:szCs w:val="20"/>
          <w:lang w:val="es-ES"/>
        </w:rPr>
        <w:t xml:space="preserve"> lo que incluye su derecho a una vida libre de violencia y la obligación de los Estados de implementar acciones </w:t>
      </w:r>
      <w:r w:rsidR="003C4639" w:rsidRPr="0033605D">
        <w:rPr>
          <w:rFonts w:ascii="Verdana" w:hAnsi="Verdana"/>
          <w:sz w:val="20"/>
          <w:szCs w:val="20"/>
          <w:lang w:val="es-ES"/>
        </w:rPr>
        <w:t xml:space="preserve">diferenciadas </w:t>
      </w:r>
      <w:r w:rsidR="00275B11" w:rsidRPr="0033605D">
        <w:rPr>
          <w:rFonts w:ascii="Verdana" w:hAnsi="Verdana"/>
          <w:sz w:val="20"/>
          <w:szCs w:val="20"/>
          <w:lang w:val="es-ES"/>
        </w:rPr>
        <w:t xml:space="preserve">para </w:t>
      </w:r>
      <w:r w:rsidR="003C4639" w:rsidRPr="0033605D">
        <w:rPr>
          <w:rFonts w:ascii="Verdana" w:hAnsi="Verdana"/>
          <w:sz w:val="20"/>
          <w:szCs w:val="20"/>
          <w:lang w:val="es-ES"/>
        </w:rPr>
        <w:t>su respeto y garantía</w:t>
      </w:r>
      <w:r w:rsidR="00275B11" w:rsidRPr="0033605D">
        <w:rPr>
          <w:rFonts w:ascii="Verdana" w:hAnsi="Verdana"/>
          <w:sz w:val="20"/>
          <w:szCs w:val="20"/>
          <w:lang w:val="es-ES"/>
        </w:rPr>
        <w:t xml:space="preserve">. </w:t>
      </w:r>
      <w:r w:rsidR="003C4639" w:rsidRPr="0033605D">
        <w:rPr>
          <w:rFonts w:ascii="Verdana" w:hAnsi="Verdana"/>
          <w:sz w:val="20"/>
          <w:szCs w:val="20"/>
          <w:lang w:val="es-ES"/>
        </w:rPr>
        <w:t xml:space="preserve">Por su parte el caso </w:t>
      </w:r>
      <w:r w:rsidR="003C4639" w:rsidRPr="0033605D">
        <w:rPr>
          <w:rFonts w:ascii="Verdana" w:hAnsi="Verdana"/>
          <w:i/>
          <w:iCs/>
          <w:sz w:val="20"/>
          <w:szCs w:val="20"/>
          <w:lang w:val="es-ES"/>
        </w:rPr>
        <w:t>Manuela</w:t>
      </w:r>
      <w:r w:rsidR="003C4639" w:rsidRPr="0033605D">
        <w:rPr>
          <w:rFonts w:ascii="Verdana" w:hAnsi="Verdana"/>
          <w:sz w:val="20"/>
          <w:szCs w:val="20"/>
          <w:lang w:val="es-ES"/>
        </w:rPr>
        <w:t xml:space="preserve"> supuso un avance en el reconocimiento d</w:t>
      </w:r>
      <w:r w:rsidR="0075151E" w:rsidRPr="0033605D">
        <w:rPr>
          <w:rFonts w:ascii="Verdana" w:hAnsi="Verdana"/>
          <w:sz w:val="20"/>
          <w:szCs w:val="20"/>
          <w:lang w:val="es-ES"/>
        </w:rPr>
        <w:t xml:space="preserve">e las necesidades especiales de atención </w:t>
      </w:r>
      <w:r w:rsidR="00037D2C" w:rsidRPr="0033605D">
        <w:rPr>
          <w:rFonts w:ascii="Verdana" w:hAnsi="Verdana"/>
          <w:sz w:val="20"/>
          <w:szCs w:val="20"/>
          <w:lang w:val="es-ES"/>
        </w:rPr>
        <w:t>de emergencias obstétricas</w:t>
      </w:r>
      <w:r w:rsidR="0075151E" w:rsidRPr="0033605D">
        <w:rPr>
          <w:rFonts w:ascii="Verdana" w:hAnsi="Verdana"/>
          <w:sz w:val="20"/>
          <w:szCs w:val="20"/>
          <w:lang w:val="es-ES"/>
        </w:rPr>
        <w:t xml:space="preserve">, y la obligación de erradicar estereotipos asociados a la maternidad y prácticas discriminatorias en materia de acceso a la salud sexual y reproductiva en el contexto de criminalización de la interrupción voluntaria del embarazo. Finalmente, los casos </w:t>
      </w:r>
      <w:r w:rsidR="0075151E" w:rsidRPr="0033605D">
        <w:rPr>
          <w:rFonts w:ascii="Verdana" w:hAnsi="Verdana"/>
          <w:i/>
          <w:iCs/>
          <w:sz w:val="20"/>
          <w:szCs w:val="20"/>
          <w:lang w:val="es-ES"/>
        </w:rPr>
        <w:t>Brítez Arce</w:t>
      </w:r>
      <w:r w:rsidR="0075151E" w:rsidRPr="0033605D">
        <w:rPr>
          <w:rFonts w:ascii="Verdana" w:hAnsi="Verdana"/>
          <w:sz w:val="20"/>
          <w:szCs w:val="20"/>
          <w:lang w:val="es-ES"/>
        </w:rPr>
        <w:t xml:space="preserve">, </w:t>
      </w:r>
      <w:r w:rsidR="0075151E" w:rsidRPr="0033605D">
        <w:rPr>
          <w:rFonts w:ascii="Verdana" w:hAnsi="Verdana"/>
          <w:i/>
          <w:iCs/>
          <w:sz w:val="20"/>
          <w:szCs w:val="20"/>
          <w:lang w:val="es-ES"/>
        </w:rPr>
        <w:t>María</w:t>
      </w:r>
      <w:r w:rsidR="0075151E" w:rsidRPr="0033605D">
        <w:rPr>
          <w:rFonts w:ascii="Verdana" w:hAnsi="Verdana"/>
          <w:sz w:val="20"/>
          <w:szCs w:val="20"/>
          <w:lang w:val="es-ES"/>
        </w:rPr>
        <w:t xml:space="preserve"> y </w:t>
      </w:r>
      <w:r w:rsidR="0075151E" w:rsidRPr="0033605D">
        <w:rPr>
          <w:rFonts w:ascii="Verdana" w:hAnsi="Verdana"/>
          <w:i/>
          <w:iCs/>
          <w:sz w:val="20"/>
          <w:szCs w:val="20"/>
          <w:lang w:val="es-ES"/>
        </w:rPr>
        <w:t>Rodríguez Pacheco</w:t>
      </w:r>
      <w:r w:rsidR="0075151E" w:rsidRPr="0033605D">
        <w:rPr>
          <w:rFonts w:ascii="Verdana" w:hAnsi="Verdana"/>
          <w:sz w:val="20"/>
          <w:szCs w:val="20"/>
          <w:lang w:val="es-ES"/>
        </w:rPr>
        <w:t xml:space="preserve">, reconocen por primera vez la noción de violencia obstétrica como una forma de violencia contra la mujer, y reiteran las obligaciones especiales en materia de salud sexual y reproductiva para mujeres embarazadas. </w:t>
      </w:r>
      <w:r w:rsidR="006176AD" w:rsidRPr="0033605D">
        <w:rPr>
          <w:rFonts w:ascii="Verdana" w:hAnsi="Verdana"/>
          <w:sz w:val="20"/>
          <w:szCs w:val="20"/>
          <w:lang w:val="es-ES"/>
        </w:rPr>
        <w:t xml:space="preserve">Como se </w:t>
      </w:r>
      <w:r w:rsidR="007F14DA" w:rsidRPr="0033605D">
        <w:rPr>
          <w:rFonts w:ascii="Verdana" w:hAnsi="Verdana"/>
          <w:sz w:val="20"/>
          <w:szCs w:val="20"/>
          <w:lang w:val="es-ES"/>
        </w:rPr>
        <w:t>expondrá</w:t>
      </w:r>
      <w:r w:rsidR="006176AD" w:rsidRPr="0033605D">
        <w:rPr>
          <w:rFonts w:ascii="Verdana" w:hAnsi="Verdana"/>
          <w:sz w:val="20"/>
          <w:szCs w:val="20"/>
          <w:lang w:val="es-ES"/>
        </w:rPr>
        <w:t xml:space="preserve"> a continuación, a pesar de su calidad y consistencia, estos estándares fueron manifiestamente desconocidos en la </w:t>
      </w:r>
      <w:r w:rsidR="006D6A52" w:rsidRPr="0033605D">
        <w:rPr>
          <w:rFonts w:ascii="Verdana" w:hAnsi="Verdana"/>
          <w:sz w:val="20"/>
          <w:szCs w:val="20"/>
          <w:lang w:val="es-ES"/>
        </w:rPr>
        <w:t xml:space="preserve">presente </w:t>
      </w:r>
      <w:r w:rsidR="006176AD" w:rsidRPr="0033605D">
        <w:rPr>
          <w:rFonts w:ascii="Verdana" w:hAnsi="Verdana"/>
          <w:sz w:val="20"/>
          <w:szCs w:val="20"/>
          <w:lang w:val="es-ES"/>
        </w:rPr>
        <w:t xml:space="preserve">sentencia en detrimento de la protección merecida por Beatriz.  </w:t>
      </w:r>
    </w:p>
    <w:p w14:paraId="7B6492BA" w14:textId="7428B0B3" w:rsidR="002E348C" w:rsidRPr="0033605D" w:rsidRDefault="005F0BA6" w:rsidP="00DA5555">
      <w:pPr>
        <w:pStyle w:val="Ttulo2"/>
      </w:pPr>
      <w:r w:rsidRPr="0033605D">
        <w:t xml:space="preserve"> </w:t>
      </w:r>
      <w:r w:rsidR="00A96AC9" w:rsidRPr="0033605D">
        <w:t xml:space="preserve">La falta de análisis de los derechos sexuales y reproductivos en el caso de Beatriz </w:t>
      </w:r>
    </w:p>
    <w:p w14:paraId="678526FA" w14:textId="3F13D608" w:rsidR="006176AD" w:rsidRPr="0033605D" w:rsidRDefault="007F14DA"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La jurisprudencia de la Corte IDH sobre derechos sexuales y reproductivos fue</w:t>
      </w:r>
      <w:r w:rsidR="00A87273" w:rsidRPr="0033605D">
        <w:rPr>
          <w:rFonts w:ascii="Verdana" w:hAnsi="Verdana"/>
          <w:sz w:val="20"/>
          <w:szCs w:val="20"/>
          <w:lang w:val="es-ES"/>
        </w:rPr>
        <w:t xml:space="preserve"> </w:t>
      </w:r>
      <w:r w:rsidR="00523813" w:rsidRPr="0033605D">
        <w:rPr>
          <w:rFonts w:ascii="Verdana" w:hAnsi="Verdana"/>
          <w:sz w:val="20"/>
          <w:szCs w:val="20"/>
          <w:lang w:val="es-ES"/>
        </w:rPr>
        <w:t>abiertamente ignorad</w:t>
      </w:r>
      <w:r w:rsidRPr="0033605D">
        <w:rPr>
          <w:rFonts w:ascii="Verdana" w:hAnsi="Verdana"/>
          <w:sz w:val="20"/>
          <w:szCs w:val="20"/>
          <w:lang w:val="es-ES"/>
        </w:rPr>
        <w:t>a</w:t>
      </w:r>
      <w:r w:rsidR="00A87273" w:rsidRPr="0033605D">
        <w:rPr>
          <w:rFonts w:ascii="Verdana" w:hAnsi="Verdana"/>
          <w:sz w:val="20"/>
          <w:szCs w:val="20"/>
          <w:lang w:val="es-ES"/>
        </w:rPr>
        <w:t xml:space="preserve"> en </w:t>
      </w:r>
      <w:r w:rsidR="008E6059" w:rsidRPr="0033605D">
        <w:rPr>
          <w:rFonts w:ascii="Verdana" w:hAnsi="Verdana"/>
          <w:sz w:val="20"/>
          <w:szCs w:val="20"/>
          <w:lang w:val="es-ES"/>
        </w:rPr>
        <w:t xml:space="preserve">este </w:t>
      </w:r>
      <w:r w:rsidR="00A87273" w:rsidRPr="0033605D">
        <w:rPr>
          <w:rFonts w:ascii="Verdana" w:hAnsi="Verdana"/>
          <w:sz w:val="20"/>
          <w:szCs w:val="20"/>
          <w:lang w:val="es-ES"/>
        </w:rPr>
        <w:t>caso</w:t>
      </w:r>
      <w:r w:rsidR="0093428E" w:rsidRPr="0033605D">
        <w:rPr>
          <w:rFonts w:ascii="Verdana" w:hAnsi="Verdana"/>
          <w:sz w:val="20"/>
          <w:szCs w:val="20"/>
          <w:lang w:val="es-ES"/>
        </w:rPr>
        <w:t xml:space="preserve">, ya que la Corte decidió analizarlo exclusivamente </w:t>
      </w:r>
      <w:r w:rsidR="0093428E" w:rsidRPr="0033605D">
        <w:rPr>
          <w:rFonts w:ascii="Verdana" w:hAnsi="Verdana"/>
          <w:sz w:val="20"/>
          <w:szCs w:val="20"/>
          <w:lang w:val="es-ES"/>
        </w:rPr>
        <w:lastRenderedPageBreak/>
        <w:t>desde la perspectiva del derecho a la salud</w:t>
      </w:r>
      <w:r w:rsidR="00A87273" w:rsidRPr="0033605D">
        <w:rPr>
          <w:rFonts w:ascii="Verdana" w:hAnsi="Verdana"/>
          <w:sz w:val="20"/>
          <w:szCs w:val="20"/>
          <w:lang w:val="es-ES"/>
        </w:rPr>
        <w:t xml:space="preserve">. </w:t>
      </w:r>
      <w:r w:rsidR="006176AD" w:rsidRPr="0033605D">
        <w:rPr>
          <w:rFonts w:ascii="Verdana" w:hAnsi="Verdana"/>
          <w:sz w:val="20"/>
          <w:szCs w:val="20"/>
          <w:lang w:val="es-ES"/>
        </w:rPr>
        <w:t>La sentencia no reconoce</w:t>
      </w:r>
      <w:r w:rsidR="00F12825" w:rsidRPr="0033605D">
        <w:rPr>
          <w:rFonts w:ascii="Verdana" w:hAnsi="Verdana"/>
          <w:sz w:val="20"/>
          <w:szCs w:val="20"/>
          <w:lang w:val="es-ES"/>
        </w:rPr>
        <w:t xml:space="preserve"> </w:t>
      </w:r>
      <w:r w:rsidR="006176AD" w:rsidRPr="0033605D">
        <w:rPr>
          <w:rFonts w:ascii="Verdana" w:hAnsi="Verdana"/>
          <w:sz w:val="20"/>
          <w:szCs w:val="20"/>
          <w:lang w:val="es-ES"/>
        </w:rPr>
        <w:t>la autonomía reproductiva de Beatriz</w:t>
      </w:r>
      <w:r w:rsidR="00F12825" w:rsidRPr="0033605D">
        <w:rPr>
          <w:rFonts w:ascii="Verdana" w:hAnsi="Verdana"/>
          <w:sz w:val="20"/>
          <w:szCs w:val="20"/>
          <w:lang w:val="es-ES"/>
        </w:rPr>
        <w:t xml:space="preserve"> ni se refiere a esta; no menciona</w:t>
      </w:r>
      <w:r w:rsidRPr="0033605D">
        <w:rPr>
          <w:rFonts w:ascii="Verdana" w:hAnsi="Verdana"/>
          <w:sz w:val="20"/>
          <w:szCs w:val="20"/>
          <w:lang w:val="es-ES"/>
        </w:rPr>
        <w:t xml:space="preserve"> los riesgos </w:t>
      </w:r>
      <w:r w:rsidR="0093428E" w:rsidRPr="0033605D">
        <w:rPr>
          <w:rFonts w:ascii="Verdana" w:hAnsi="Verdana"/>
          <w:sz w:val="20"/>
          <w:szCs w:val="20"/>
          <w:lang w:val="es-ES"/>
        </w:rPr>
        <w:t>que el embarazo suponía para su</w:t>
      </w:r>
      <w:r w:rsidRPr="0033605D">
        <w:rPr>
          <w:rFonts w:ascii="Verdana" w:hAnsi="Verdana"/>
          <w:sz w:val="20"/>
          <w:szCs w:val="20"/>
          <w:lang w:val="es-ES"/>
        </w:rPr>
        <w:t xml:space="preserve"> vida, </w:t>
      </w:r>
      <w:r w:rsidR="006176AD" w:rsidRPr="0033605D">
        <w:rPr>
          <w:rFonts w:ascii="Verdana" w:hAnsi="Verdana"/>
          <w:sz w:val="20"/>
          <w:szCs w:val="20"/>
          <w:lang w:val="es-ES"/>
        </w:rPr>
        <w:t xml:space="preserve">ni </w:t>
      </w:r>
      <w:r w:rsidRPr="0033605D">
        <w:rPr>
          <w:rFonts w:ascii="Verdana" w:hAnsi="Verdana"/>
          <w:sz w:val="20"/>
          <w:szCs w:val="20"/>
          <w:lang w:val="es-ES"/>
        </w:rPr>
        <w:t>el contenido particular de sus derechos</w:t>
      </w:r>
      <w:r w:rsidR="006176AD" w:rsidRPr="0033605D">
        <w:rPr>
          <w:rFonts w:ascii="Verdana" w:hAnsi="Verdana"/>
          <w:sz w:val="20"/>
          <w:szCs w:val="20"/>
          <w:lang w:val="es-ES"/>
        </w:rPr>
        <w:t xml:space="preserve"> tratándose de una mujer joven en condición de pobreza</w:t>
      </w:r>
      <w:r w:rsidRPr="0033605D">
        <w:rPr>
          <w:rFonts w:ascii="Verdana" w:hAnsi="Verdana"/>
          <w:sz w:val="20"/>
          <w:szCs w:val="20"/>
          <w:lang w:val="es-ES"/>
        </w:rPr>
        <w:t xml:space="preserve">. Tampoco </w:t>
      </w:r>
      <w:r w:rsidR="006176AD" w:rsidRPr="0033605D">
        <w:rPr>
          <w:rFonts w:ascii="Verdana" w:hAnsi="Verdana"/>
          <w:sz w:val="20"/>
          <w:szCs w:val="20"/>
          <w:lang w:val="es-ES"/>
        </w:rPr>
        <w:t xml:space="preserve">analiza </w:t>
      </w:r>
      <w:r w:rsidRPr="0033605D">
        <w:rPr>
          <w:rFonts w:ascii="Verdana" w:hAnsi="Verdana"/>
          <w:sz w:val="20"/>
          <w:szCs w:val="20"/>
          <w:lang w:val="es-ES"/>
        </w:rPr>
        <w:t xml:space="preserve">la obligación de erradicar estereotipos asociados a la maternidad y prácticas discriminatorias en materia de acceso a la salud sexual y reproductiva en el contexto de criminalización de la interrupción voluntaria del embarazo. Además, en la sentencia se aplicó erróneamente el concepto de violencia obstétrica, lo que pone en mayor situación de desprotección tanto a mujeres como Beatriz, como a los médicos tratantes.  </w:t>
      </w:r>
    </w:p>
    <w:p w14:paraId="4F2BE9E7" w14:textId="574FB914" w:rsidR="000B3910" w:rsidRPr="0033605D" w:rsidRDefault="007F14DA"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Así, </w:t>
      </w:r>
      <w:r w:rsidR="00F12825" w:rsidRPr="0033605D">
        <w:rPr>
          <w:rFonts w:ascii="Verdana" w:hAnsi="Verdana"/>
          <w:sz w:val="20"/>
          <w:szCs w:val="20"/>
          <w:lang w:val="es-ES"/>
        </w:rPr>
        <w:t>c</w:t>
      </w:r>
      <w:r w:rsidRPr="0033605D">
        <w:rPr>
          <w:rFonts w:ascii="Verdana" w:hAnsi="Verdana"/>
          <w:sz w:val="20"/>
          <w:szCs w:val="20"/>
          <w:lang w:val="es-ES"/>
        </w:rPr>
        <w:t xml:space="preserve">omo explicaré en este acápite, la falta de aplicación de los precedentes sobre derechos sexuales y reproductivos </w:t>
      </w:r>
      <w:r w:rsidR="000B3910" w:rsidRPr="0033605D">
        <w:rPr>
          <w:rFonts w:ascii="Verdana" w:hAnsi="Verdana"/>
          <w:sz w:val="20"/>
          <w:szCs w:val="20"/>
          <w:lang w:val="es-ES"/>
        </w:rPr>
        <w:t xml:space="preserve">no representa una falencia de carácter meramente formal o simbólico, </w:t>
      </w:r>
      <w:r w:rsidR="008037B4" w:rsidRPr="0033605D">
        <w:rPr>
          <w:rFonts w:ascii="Verdana" w:hAnsi="Verdana"/>
          <w:sz w:val="20"/>
          <w:szCs w:val="20"/>
          <w:lang w:val="es-ES"/>
        </w:rPr>
        <w:t>sino que tuvo profundas implicaciones en la manera en que la Corte configuró la responsabilidad internacional, y</w:t>
      </w:r>
      <w:r w:rsidR="003B703F" w:rsidRPr="0033605D">
        <w:rPr>
          <w:rFonts w:ascii="Verdana" w:hAnsi="Verdana"/>
          <w:sz w:val="20"/>
          <w:szCs w:val="20"/>
          <w:lang w:val="es-ES"/>
        </w:rPr>
        <w:t xml:space="preserve"> en</w:t>
      </w:r>
      <w:r w:rsidR="008037B4" w:rsidRPr="0033605D">
        <w:rPr>
          <w:rFonts w:ascii="Verdana" w:hAnsi="Verdana"/>
          <w:sz w:val="20"/>
          <w:szCs w:val="20"/>
          <w:lang w:val="es-ES"/>
        </w:rPr>
        <w:t xml:space="preserve"> las medidas de reparación ordenadas.</w:t>
      </w:r>
      <w:r w:rsidR="003B703F" w:rsidRPr="0033605D">
        <w:rPr>
          <w:rFonts w:ascii="Verdana" w:hAnsi="Verdana"/>
          <w:sz w:val="20"/>
          <w:szCs w:val="20"/>
          <w:lang w:val="es-ES"/>
        </w:rPr>
        <w:t xml:space="preserve"> Como consecuencia, afectó la protección </w:t>
      </w:r>
      <w:r w:rsidR="00984F2F" w:rsidRPr="0033605D">
        <w:rPr>
          <w:rFonts w:ascii="Verdana" w:hAnsi="Verdana"/>
          <w:sz w:val="20"/>
          <w:szCs w:val="20"/>
          <w:lang w:val="es-ES"/>
        </w:rPr>
        <w:t>que la Corte debía otorgar</w:t>
      </w:r>
      <w:r w:rsidR="003B703F" w:rsidRPr="0033605D">
        <w:rPr>
          <w:rFonts w:ascii="Verdana" w:hAnsi="Verdana"/>
          <w:sz w:val="20"/>
          <w:szCs w:val="20"/>
          <w:lang w:val="es-ES"/>
        </w:rPr>
        <w:t xml:space="preserve"> a </w:t>
      </w:r>
      <w:r w:rsidR="00984F2F" w:rsidRPr="0033605D">
        <w:rPr>
          <w:rFonts w:ascii="Verdana" w:hAnsi="Verdana"/>
          <w:sz w:val="20"/>
          <w:szCs w:val="20"/>
          <w:lang w:val="es-ES"/>
        </w:rPr>
        <w:t>Beatriz</w:t>
      </w:r>
      <w:r w:rsidR="003B703F" w:rsidRPr="0033605D">
        <w:rPr>
          <w:rFonts w:ascii="Verdana" w:hAnsi="Verdana"/>
          <w:sz w:val="20"/>
          <w:szCs w:val="20"/>
          <w:lang w:val="es-ES"/>
        </w:rPr>
        <w:t xml:space="preserve">, así como a otras mujeres </w:t>
      </w:r>
      <w:r w:rsidR="00037D2C" w:rsidRPr="0033605D">
        <w:rPr>
          <w:rFonts w:ascii="Verdana" w:hAnsi="Verdana"/>
          <w:sz w:val="20"/>
          <w:szCs w:val="20"/>
          <w:lang w:val="es-ES"/>
        </w:rPr>
        <w:t xml:space="preserve">y niñas </w:t>
      </w:r>
      <w:r w:rsidR="003B703F" w:rsidRPr="0033605D">
        <w:rPr>
          <w:rFonts w:ascii="Verdana" w:hAnsi="Verdana"/>
          <w:sz w:val="20"/>
          <w:szCs w:val="20"/>
          <w:lang w:val="es-ES"/>
        </w:rPr>
        <w:t xml:space="preserve">que </w:t>
      </w:r>
      <w:r w:rsidR="00B64C50" w:rsidRPr="0033605D">
        <w:rPr>
          <w:rFonts w:ascii="Verdana" w:hAnsi="Verdana"/>
          <w:sz w:val="20"/>
          <w:szCs w:val="20"/>
          <w:lang w:val="es-ES"/>
        </w:rPr>
        <w:t xml:space="preserve">puedan </w:t>
      </w:r>
      <w:r w:rsidR="003B703F" w:rsidRPr="0033605D">
        <w:rPr>
          <w:rFonts w:ascii="Verdana" w:hAnsi="Verdana"/>
          <w:sz w:val="20"/>
          <w:szCs w:val="20"/>
          <w:lang w:val="es-ES"/>
        </w:rPr>
        <w:t>encontrarse en su misma situación tanto en El Salvador, como en otros países del continente</w:t>
      </w:r>
      <w:r w:rsidR="00726508" w:rsidRPr="0033605D">
        <w:rPr>
          <w:rFonts w:ascii="Verdana" w:hAnsi="Verdana"/>
          <w:sz w:val="20"/>
          <w:szCs w:val="20"/>
          <w:lang w:val="es-ES"/>
        </w:rPr>
        <w:t xml:space="preserve"> y que se verán afectadas por este </w:t>
      </w:r>
      <w:r w:rsidR="006176AD" w:rsidRPr="0033605D">
        <w:rPr>
          <w:rFonts w:ascii="Verdana" w:hAnsi="Verdana"/>
          <w:sz w:val="20"/>
          <w:szCs w:val="20"/>
          <w:lang w:val="es-ES"/>
        </w:rPr>
        <w:t xml:space="preserve">nefasto </w:t>
      </w:r>
      <w:r w:rsidR="00726508" w:rsidRPr="0033605D">
        <w:rPr>
          <w:rFonts w:ascii="Verdana" w:hAnsi="Verdana"/>
          <w:sz w:val="20"/>
          <w:szCs w:val="20"/>
          <w:lang w:val="es-ES"/>
        </w:rPr>
        <w:t>precedente</w:t>
      </w:r>
      <w:r w:rsidR="003B703F" w:rsidRPr="0033605D">
        <w:rPr>
          <w:rFonts w:ascii="Verdana" w:hAnsi="Verdana"/>
          <w:sz w:val="20"/>
          <w:szCs w:val="20"/>
          <w:lang w:val="es-ES"/>
        </w:rPr>
        <w:t xml:space="preserve">. </w:t>
      </w:r>
    </w:p>
    <w:p w14:paraId="183B8294" w14:textId="791DF652" w:rsidR="000B3910" w:rsidRPr="0033605D" w:rsidRDefault="003160EE"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la </w:t>
      </w:r>
      <w:r w:rsidR="003518B2">
        <w:rPr>
          <w:rFonts w:ascii="Verdana" w:hAnsi="Verdana"/>
          <w:sz w:val="20"/>
          <w:szCs w:val="20"/>
          <w:lang w:val="es-ES"/>
        </w:rPr>
        <w:t>S</w:t>
      </w:r>
      <w:r w:rsidRPr="0033605D">
        <w:rPr>
          <w:rFonts w:ascii="Verdana" w:hAnsi="Verdana"/>
          <w:sz w:val="20"/>
          <w:szCs w:val="20"/>
          <w:lang w:val="es-ES"/>
        </w:rPr>
        <w:t xml:space="preserve">entencia, </w:t>
      </w:r>
      <w:r w:rsidR="00D1114D" w:rsidRPr="0033605D">
        <w:rPr>
          <w:rFonts w:ascii="Verdana" w:hAnsi="Verdana"/>
          <w:sz w:val="20"/>
          <w:szCs w:val="20"/>
          <w:lang w:val="es-ES"/>
        </w:rPr>
        <w:t>se señaló que “</w:t>
      </w:r>
      <w:r w:rsidR="003F436A" w:rsidRPr="0033605D">
        <w:rPr>
          <w:rFonts w:ascii="Verdana" w:hAnsi="Verdana"/>
          <w:sz w:val="20"/>
          <w:szCs w:val="20"/>
        </w:rPr>
        <w:t xml:space="preserve">[l]as circunstancias médicas de Beatriz imponían un deber especial de protección en su favor, que obligaba a los médicos tratantes a brindar una atención diligente y oportuna, con una consideración especial a que su condición de salud podía empeorar con el paso del tiempo. Sin embargo, la falta de certeza jurídica sobre el abordaje de la situación de Beatriz obligó a burocratizar y judicializar su caso, primero con diversas solicitudes a diferentes órganos estatales que dieron respuestas contradictorias </w:t>
      </w:r>
      <w:r w:rsidR="007E07C9" w:rsidRPr="0033605D">
        <w:rPr>
          <w:rFonts w:ascii="Verdana" w:hAnsi="Verdana"/>
          <w:sz w:val="20"/>
          <w:szCs w:val="20"/>
        </w:rPr>
        <w:t>[…]</w:t>
      </w:r>
      <w:r w:rsidR="003F436A" w:rsidRPr="0033605D">
        <w:rPr>
          <w:rFonts w:ascii="Verdana" w:hAnsi="Verdana"/>
          <w:sz w:val="20"/>
          <w:szCs w:val="20"/>
        </w:rPr>
        <w:t xml:space="preserve"> y posteriormente</w:t>
      </w:r>
      <w:r w:rsidR="00082D82">
        <w:rPr>
          <w:rFonts w:ascii="Verdana" w:hAnsi="Verdana"/>
          <w:sz w:val="20"/>
          <w:szCs w:val="20"/>
        </w:rPr>
        <w:t>,</w:t>
      </w:r>
      <w:r w:rsidR="003F436A" w:rsidRPr="0033605D">
        <w:rPr>
          <w:rFonts w:ascii="Verdana" w:hAnsi="Verdana"/>
          <w:sz w:val="20"/>
          <w:szCs w:val="20"/>
        </w:rPr>
        <w:t xml:space="preserve"> por medio de un amparo</w:t>
      </w:r>
      <w:r w:rsidR="00D1114D" w:rsidRPr="0033605D">
        <w:rPr>
          <w:rFonts w:ascii="Verdana" w:hAnsi="Verdana"/>
          <w:sz w:val="20"/>
          <w:szCs w:val="20"/>
          <w:lang w:val="es-ES"/>
        </w:rPr>
        <w:t>”</w:t>
      </w:r>
      <w:r w:rsidR="000B3910" w:rsidRPr="0033605D">
        <w:rPr>
          <w:rFonts w:ascii="Verdana" w:hAnsi="Verdana"/>
          <w:sz w:val="20"/>
          <w:szCs w:val="20"/>
          <w:lang w:val="es-ES"/>
        </w:rPr>
        <w:t xml:space="preserve"> </w:t>
      </w:r>
      <w:r w:rsidR="003F436A" w:rsidRPr="0033605D">
        <w:rPr>
          <w:rFonts w:ascii="Verdana" w:hAnsi="Verdana"/>
          <w:sz w:val="20"/>
          <w:szCs w:val="20"/>
          <w:lang w:val="es-ES"/>
        </w:rPr>
        <w:t>(párrafo 1</w:t>
      </w:r>
      <w:r w:rsidR="003518B2">
        <w:rPr>
          <w:rFonts w:ascii="Verdana" w:hAnsi="Verdana"/>
          <w:sz w:val="20"/>
          <w:szCs w:val="20"/>
          <w:lang w:val="es-ES"/>
        </w:rPr>
        <w:t>38</w:t>
      </w:r>
      <w:r w:rsidR="003F436A" w:rsidRPr="0033605D">
        <w:rPr>
          <w:rFonts w:ascii="Verdana" w:hAnsi="Verdana"/>
          <w:sz w:val="20"/>
          <w:szCs w:val="20"/>
          <w:lang w:val="es-ES"/>
        </w:rPr>
        <w:t>)</w:t>
      </w:r>
      <w:r w:rsidR="007E07C9" w:rsidRPr="0033605D">
        <w:rPr>
          <w:rFonts w:ascii="Verdana" w:hAnsi="Verdana"/>
          <w:sz w:val="20"/>
          <w:szCs w:val="20"/>
          <w:lang w:val="es-ES"/>
        </w:rPr>
        <w:t xml:space="preserve">. </w:t>
      </w:r>
      <w:r w:rsidR="00256EC5" w:rsidRPr="0033605D">
        <w:rPr>
          <w:rFonts w:ascii="Verdana" w:hAnsi="Verdana"/>
          <w:sz w:val="20"/>
          <w:szCs w:val="20"/>
          <w:lang w:val="es-ES"/>
        </w:rPr>
        <w:t xml:space="preserve">Así, </w:t>
      </w:r>
      <w:r w:rsidR="005A3E2C" w:rsidRPr="0033605D">
        <w:rPr>
          <w:rFonts w:ascii="Verdana" w:hAnsi="Verdana"/>
          <w:sz w:val="20"/>
          <w:szCs w:val="20"/>
          <w:lang w:val="es-ES"/>
        </w:rPr>
        <w:t xml:space="preserve">al sintetizar el problema jurídico del caso, el Tribunal </w:t>
      </w:r>
      <w:r w:rsidR="00256EC5" w:rsidRPr="0033605D">
        <w:rPr>
          <w:rFonts w:ascii="Verdana" w:hAnsi="Verdana"/>
          <w:sz w:val="20"/>
          <w:szCs w:val="20"/>
          <w:lang w:val="es-ES"/>
        </w:rPr>
        <w:t>ignoró que</w:t>
      </w:r>
      <w:r w:rsidR="00977CF4" w:rsidRPr="0033605D">
        <w:rPr>
          <w:rFonts w:ascii="Verdana" w:hAnsi="Verdana"/>
          <w:sz w:val="20"/>
          <w:szCs w:val="20"/>
          <w:lang w:val="es-ES"/>
        </w:rPr>
        <w:t xml:space="preserve"> </w:t>
      </w:r>
      <w:r w:rsidR="009254D0" w:rsidRPr="0033605D">
        <w:rPr>
          <w:rFonts w:ascii="Verdana" w:hAnsi="Verdana"/>
          <w:sz w:val="20"/>
          <w:szCs w:val="20"/>
          <w:lang w:val="es-ES"/>
        </w:rPr>
        <w:t>el</w:t>
      </w:r>
      <w:r w:rsidR="00977CF4" w:rsidRPr="0033605D">
        <w:rPr>
          <w:rFonts w:ascii="Verdana" w:hAnsi="Verdana"/>
          <w:sz w:val="20"/>
          <w:szCs w:val="20"/>
          <w:lang w:val="es-ES"/>
        </w:rPr>
        <w:t xml:space="preserve"> </w:t>
      </w:r>
      <w:r w:rsidR="00256EC5" w:rsidRPr="0033605D">
        <w:rPr>
          <w:rFonts w:ascii="Verdana" w:hAnsi="Verdana"/>
          <w:sz w:val="20"/>
          <w:szCs w:val="20"/>
          <w:lang w:val="es-ES"/>
        </w:rPr>
        <w:t xml:space="preserve">tratamiento </w:t>
      </w:r>
      <w:r w:rsidR="00977CF4" w:rsidRPr="0033605D">
        <w:rPr>
          <w:rFonts w:ascii="Verdana" w:hAnsi="Verdana"/>
          <w:sz w:val="20"/>
          <w:szCs w:val="20"/>
          <w:lang w:val="es-ES"/>
        </w:rPr>
        <w:t>diligente y oportun</w:t>
      </w:r>
      <w:r w:rsidR="00256EC5" w:rsidRPr="0033605D">
        <w:rPr>
          <w:rFonts w:ascii="Verdana" w:hAnsi="Verdana"/>
          <w:sz w:val="20"/>
          <w:szCs w:val="20"/>
          <w:lang w:val="es-ES"/>
        </w:rPr>
        <w:t>o</w:t>
      </w:r>
      <w:r w:rsidR="00977CF4" w:rsidRPr="0033605D">
        <w:rPr>
          <w:rFonts w:ascii="Verdana" w:hAnsi="Verdana"/>
          <w:sz w:val="20"/>
          <w:szCs w:val="20"/>
          <w:lang w:val="es-ES"/>
        </w:rPr>
        <w:t xml:space="preserve"> </w:t>
      </w:r>
      <w:r w:rsidR="00256EC5" w:rsidRPr="0033605D">
        <w:rPr>
          <w:rFonts w:ascii="Verdana" w:hAnsi="Verdana"/>
          <w:sz w:val="20"/>
          <w:szCs w:val="20"/>
          <w:lang w:val="es-ES"/>
        </w:rPr>
        <w:t>requerido en el caso para proteger la vida e integridad de Beatriz</w:t>
      </w:r>
      <w:r w:rsidR="00977CF4" w:rsidRPr="0033605D">
        <w:rPr>
          <w:rFonts w:ascii="Verdana" w:hAnsi="Verdana"/>
          <w:sz w:val="20"/>
          <w:szCs w:val="20"/>
          <w:lang w:val="es-ES"/>
        </w:rPr>
        <w:t>, fue solicitad</w:t>
      </w:r>
      <w:r w:rsidR="00F43C12" w:rsidRPr="0033605D">
        <w:rPr>
          <w:rFonts w:ascii="Verdana" w:hAnsi="Verdana"/>
          <w:sz w:val="20"/>
          <w:szCs w:val="20"/>
          <w:lang w:val="es-ES"/>
        </w:rPr>
        <w:t>o</w:t>
      </w:r>
      <w:r w:rsidR="00977CF4" w:rsidRPr="0033605D">
        <w:rPr>
          <w:rFonts w:ascii="Verdana" w:hAnsi="Verdana"/>
          <w:sz w:val="20"/>
          <w:szCs w:val="20"/>
          <w:lang w:val="es-ES"/>
        </w:rPr>
        <w:t xml:space="preserve"> expresamente por </w:t>
      </w:r>
      <w:r w:rsidR="00256EC5" w:rsidRPr="0033605D">
        <w:rPr>
          <w:rFonts w:ascii="Verdana" w:hAnsi="Verdana"/>
          <w:sz w:val="20"/>
          <w:szCs w:val="20"/>
          <w:lang w:val="es-ES"/>
        </w:rPr>
        <w:t>ella</w:t>
      </w:r>
      <w:r w:rsidR="00977CF4" w:rsidRPr="0033605D">
        <w:rPr>
          <w:rFonts w:ascii="Verdana" w:hAnsi="Verdana"/>
          <w:sz w:val="20"/>
          <w:szCs w:val="20"/>
          <w:lang w:val="es-ES"/>
        </w:rPr>
        <w:t xml:space="preserve"> y que,</w:t>
      </w:r>
      <w:r w:rsidR="00256EC5" w:rsidRPr="0033605D">
        <w:rPr>
          <w:rFonts w:ascii="Verdana" w:hAnsi="Verdana"/>
          <w:sz w:val="20"/>
          <w:szCs w:val="20"/>
          <w:lang w:val="es-ES"/>
        </w:rPr>
        <w:t xml:space="preserve"> como consecuencia, </w:t>
      </w:r>
      <w:r w:rsidR="00F43C12" w:rsidRPr="0033605D">
        <w:rPr>
          <w:rFonts w:ascii="Verdana" w:hAnsi="Verdana"/>
          <w:sz w:val="20"/>
          <w:szCs w:val="20"/>
          <w:lang w:val="es-ES"/>
        </w:rPr>
        <w:t>dicha</w:t>
      </w:r>
      <w:r w:rsidR="00256EC5" w:rsidRPr="0033605D">
        <w:rPr>
          <w:rFonts w:ascii="Verdana" w:hAnsi="Verdana"/>
          <w:sz w:val="20"/>
          <w:szCs w:val="20"/>
          <w:lang w:val="es-ES"/>
        </w:rPr>
        <w:t xml:space="preserve"> falta de</w:t>
      </w:r>
      <w:r w:rsidR="00977CF4" w:rsidRPr="0033605D">
        <w:rPr>
          <w:rFonts w:ascii="Verdana" w:hAnsi="Verdana"/>
          <w:sz w:val="20"/>
          <w:szCs w:val="20"/>
          <w:lang w:val="es-ES"/>
        </w:rPr>
        <w:t xml:space="preserve"> </w:t>
      </w:r>
      <w:r w:rsidR="008D1533" w:rsidRPr="0033605D">
        <w:rPr>
          <w:rFonts w:ascii="Verdana" w:hAnsi="Verdana"/>
          <w:sz w:val="20"/>
          <w:szCs w:val="20"/>
          <w:lang w:val="es-ES"/>
        </w:rPr>
        <w:t xml:space="preserve">atención </w:t>
      </w:r>
      <w:r w:rsidR="00256EC5" w:rsidRPr="0033605D">
        <w:rPr>
          <w:rFonts w:ascii="Verdana" w:hAnsi="Verdana"/>
          <w:sz w:val="20"/>
          <w:szCs w:val="20"/>
          <w:lang w:val="es-ES"/>
        </w:rPr>
        <w:t>desconoció</w:t>
      </w:r>
      <w:r w:rsidR="008D1533" w:rsidRPr="0033605D">
        <w:rPr>
          <w:rFonts w:ascii="Verdana" w:hAnsi="Verdana"/>
          <w:sz w:val="20"/>
          <w:szCs w:val="20"/>
          <w:lang w:val="es-ES"/>
        </w:rPr>
        <w:t xml:space="preserve"> </w:t>
      </w:r>
      <w:r w:rsidR="004509FB" w:rsidRPr="0033605D">
        <w:rPr>
          <w:rFonts w:ascii="Verdana" w:hAnsi="Verdana"/>
          <w:sz w:val="20"/>
          <w:szCs w:val="20"/>
          <w:lang w:val="es-ES"/>
        </w:rPr>
        <w:t xml:space="preserve">además de los derechos declarados como violados, </w:t>
      </w:r>
      <w:r w:rsidR="008D1533" w:rsidRPr="0033605D">
        <w:rPr>
          <w:rFonts w:ascii="Verdana" w:hAnsi="Verdana"/>
          <w:sz w:val="20"/>
          <w:szCs w:val="20"/>
          <w:lang w:val="es-ES"/>
        </w:rPr>
        <w:t>su</w:t>
      </w:r>
      <w:r w:rsidR="009D7CEF" w:rsidRPr="0033605D">
        <w:rPr>
          <w:rFonts w:ascii="Verdana" w:hAnsi="Verdana"/>
          <w:sz w:val="20"/>
          <w:szCs w:val="20"/>
          <w:lang w:val="es-ES"/>
        </w:rPr>
        <w:t>s derechos a la vida,</w:t>
      </w:r>
      <w:r w:rsidR="00943B01" w:rsidRPr="0033605D">
        <w:rPr>
          <w:rFonts w:ascii="Verdana" w:hAnsi="Verdana"/>
          <w:sz w:val="20"/>
          <w:szCs w:val="20"/>
          <w:lang w:val="es-ES"/>
        </w:rPr>
        <w:t xml:space="preserve"> dignidad y autonomía personal. </w:t>
      </w:r>
      <w:r w:rsidR="008D1533" w:rsidRPr="0033605D">
        <w:rPr>
          <w:rFonts w:ascii="Verdana" w:hAnsi="Verdana"/>
          <w:sz w:val="20"/>
          <w:szCs w:val="20"/>
          <w:lang w:val="es-ES"/>
        </w:rPr>
        <w:t xml:space="preserve"> </w:t>
      </w:r>
    </w:p>
    <w:p w14:paraId="3A400E74" w14:textId="0B248A80" w:rsidR="00422413" w:rsidRPr="0033605D" w:rsidRDefault="0095627B"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En lo que respecta al derecho a la autonomía</w:t>
      </w:r>
      <w:r w:rsidR="005908A4" w:rsidRPr="0033605D">
        <w:rPr>
          <w:rFonts w:ascii="Verdana" w:hAnsi="Verdana"/>
          <w:sz w:val="20"/>
          <w:szCs w:val="20"/>
          <w:lang w:val="es-ES"/>
        </w:rPr>
        <w:t>, y en particular a la autonomía reproductiva</w:t>
      </w:r>
      <w:r w:rsidR="00C34EA4" w:rsidRPr="0033605D">
        <w:rPr>
          <w:rFonts w:ascii="Verdana" w:hAnsi="Verdana"/>
          <w:sz w:val="20"/>
          <w:szCs w:val="20"/>
          <w:lang w:val="es-ES"/>
        </w:rPr>
        <w:t xml:space="preserve">, principal ausente en la </w:t>
      </w:r>
      <w:proofErr w:type="gramStart"/>
      <w:r w:rsidR="003518B2">
        <w:rPr>
          <w:rFonts w:ascii="Verdana" w:hAnsi="Verdana"/>
          <w:sz w:val="20"/>
          <w:szCs w:val="20"/>
          <w:lang w:val="es-ES"/>
        </w:rPr>
        <w:t>S</w:t>
      </w:r>
      <w:r w:rsidR="0088549C" w:rsidRPr="0033605D">
        <w:rPr>
          <w:rFonts w:ascii="Verdana" w:hAnsi="Verdana"/>
          <w:sz w:val="20"/>
          <w:szCs w:val="20"/>
          <w:lang w:val="es-ES"/>
        </w:rPr>
        <w:t>entencia</w:t>
      </w:r>
      <w:r w:rsidR="00AA2620" w:rsidRPr="0033605D">
        <w:rPr>
          <w:rFonts w:ascii="Verdana" w:hAnsi="Verdana"/>
          <w:sz w:val="20"/>
          <w:szCs w:val="20"/>
          <w:lang w:val="es-ES"/>
        </w:rPr>
        <w:t>,</w:t>
      </w:r>
      <w:proofErr w:type="gramEnd"/>
      <w:r w:rsidR="005908A4" w:rsidRPr="0033605D">
        <w:rPr>
          <w:rFonts w:ascii="Verdana" w:hAnsi="Verdana"/>
          <w:sz w:val="20"/>
          <w:szCs w:val="20"/>
          <w:lang w:val="es-ES"/>
        </w:rPr>
        <w:t xml:space="preserve"> </w:t>
      </w:r>
      <w:r w:rsidR="00AA2620" w:rsidRPr="0033605D">
        <w:rPr>
          <w:rFonts w:ascii="Verdana" w:hAnsi="Verdana"/>
          <w:sz w:val="20"/>
          <w:szCs w:val="20"/>
          <w:lang w:val="es-ES"/>
        </w:rPr>
        <w:t>es</w:t>
      </w:r>
      <w:r w:rsidR="005908A4" w:rsidRPr="0033605D">
        <w:rPr>
          <w:rFonts w:ascii="Verdana" w:hAnsi="Verdana"/>
          <w:sz w:val="20"/>
          <w:szCs w:val="20"/>
          <w:lang w:val="es-ES"/>
        </w:rPr>
        <w:t xml:space="preserve"> importante destacar que</w:t>
      </w:r>
      <w:r w:rsidR="00C064AC" w:rsidRPr="0033605D">
        <w:rPr>
          <w:rFonts w:ascii="Verdana" w:hAnsi="Verdana"/>
          <w:sz w:val="20"/>
          <w:szCs w:val="20"/>
          <w:lang w:val="es-ES"/>
        </w:rPr>
        <w:t xml:space="preserve"> </w:t>
      </w:r>
      <w:r w:rsidR="001E5E6E" w:rsidRPr="0033605D">
        <w:rPr>
          <w:rFonts w:ascii="Verdana" w:hAnsi="Verdana"/>
          <w:sz w:val="20"/>
          <w:szCs w:val="20"/>
          <w:lang w:val="es-ES"/>
        </w:rPr>
        <w:t xml:space="preserve">desde los casos </w:t>
      </w:r>
      <w:r w:rsidR="001E5E6E" w:rsidRPr="0033605D">
        <w:rPr>
          <w:rFonts w:ascii="Verdana" w:hAnsi="Verdana"/>
          <w:i/>
          <w:iCs/>
          <w:sz w:val="20"/>
          <w:szCs w:val="20"/>
          <w:lang w:val="es-ES"/>
        </w:rPr>
        <w:t>Artavia Murillo</w:t>
      </w:r>
      <w:r w:rsidR="001E5E6E" w:rsidRPr="0033605D">
        <w:rPr>
          <w:rFonts w:ascii="Verdana" w:hAnsi="Verdana"/>
          <w:sz w:val="20"/>
          <w:szCs w:val="20"/>
          <w:lang w:val="es-ES"/>
        </w:rPr>
        <w:t xml:space="preserve"> e </w:t>
      </w:r>
      <w:r w:rsidR="001E5E6E" w:rsidRPr="0033605D">
        <w:rPr>
          <w:rFonts w:ascii="Verdana" w:hAnsi="Verdana"/>
          <w:i/>
          <w:iCs/>
          <w:sz w:val="20"/>
          <w:szCs w:val="20"/>
          <w:lang w:val="es-ES"/>
        </w:rPr>
        <w:t>I.V.</w:t>
      </w:r>
      <w:r w:rsidR="001E5E6E" w:rsidRPr="0033605D">
        <w:rPr>
          <w:rFonts w:ascii="Verdana" w:hAnsi="Verdana"/>
          <w:sz w:val="20"/>
          <w:szCs w:val="20"/>
          <w:lang w:val="es-ES"/>
        </w:rPr>
        <w:t xml:space="preserve"> la Corte </w:t>
      </w:r>
      <w:r w:rsidR="005908A4" w:rsidRPr="0033605D">
        <w:rPr>
          <w:rFonts w:ascii="Verdana" w:hAnsi="Verdana"/>
          <w:sz w:val="20"/>
          <w:szCs w:val="20"/>
          <w:lang w:val="es-ES"/>
        </w:rPr>
        <w:t>reconoció este derecho</w:t>
      </w:r>
      <w:r w:rsidR="00417A5C" w:rsidRPr="0033605D">
        <w:rPr>
          <w:rFonts w:ascii="Verdana" w:hAnsi="Verdana"/>
          <w:sz w:val="20"/>
          <w:szCs w:val="20"/>
          <w:lang w:val="es-ES"/>
        </w:rPr>
        <w:t xml:space="preserve"> como </w:t>
      </w:r>
      <w:r w:rsidR="0018031F" w:rsidRPr="0033605D">
        <w:rPr>
          <w:rFonts w:ascii="Verdana" w:hAnsi="Verdana"/>
          <w:sz w:val="20"/>
          <w:szCs w:val="20"/>
          <w:lang w:val="es-ES"/>
        </w:rPr>
        <w:t xml:space="preserve">componente central </w:t>
      </w:r>
      <w:r w:rsidR="001E5E6E" w:rsidRPr="0033605D">
        <w:rPr>
          <w:rFonts w:ascii="Verdana" w:hAnsi="Verdana"/>
          <w:sz w:val="20"/>
          <w:szCs w:val="20"/>
          <w:lang w:val="es-ES"/>
        </w:rPr>
        <w:t>de los derechos a la integridad personal</w:t>
      </w:r>
      <w:r w:rsidR="00570AC8" w:rsidRPr="0033605D">
        <w:rPr>
          <w:rFonts w:ascii="Verdana" w:hAnsi="Verdana"/>
          <w:sz w:val="20"/>
          <w:szCs w:val="20"/>
          <w:lang w:val="es-ES"/>
        </w:rPr>
        <w:t>, a la libertad y</w:t>
      </w:r>
      <w:r w:rsidR="001E5E6E" w:rsidRPr="0033605D">
        <w:rPr>
          <w:rFonts w:ascii="Verdana" w:hAnsi="Verdana"/>
          <w:sz w:val="20"/>
          <w:szCs w:val="20"/>
          <w:lang w:val="es-ES"/>
        </w:rPr>
        <w:t xml:space="preserve"> a la vida privada</w:t>
      </w:r>
      <w:r w:rsidR="00995332" w:rsidRPr="0033605D">
        <w:rPr>
          <w:rFonts w:ascii="Verdana" w:hAnsi="Verdana"/>
          <w:sz w:val="20"/>
          <w:szCs w:val="20"/>
          <w:lang w:val="es-ES"/>
        </w:rPr>
        <w:t>. Además</w:t>
      </w:r>
      <w:r w:rsidR="00A10DBD" w:rsidRPr="0033605D">
        <w:rPr>
          <w:rFonts w:ascii="Verdana" w:hAnsi="Verdana"/>
          <w:sz w:val="20"/>
          <w:szCs w:val="20"/>
          <w:lang w:val="es-ES"/>
        </w:rPr>
        <w:t xml:space="preserve">, </w:t>
      </w:r>
      <w:r w:rsidR="005908A4" w:rsidRPr="0033605D">
        <w:rPr>
          <w:rFonts w:ascii="Verdana" w:hAnsi="Verdana"/>
          <w:sz w:val="20"/>
          <w:szCs w:val="20"/>
          <w:lang w:val="es-ES"/>
        </w:rPr>
        <w:t>indicó</w:t>
      </w:r>
      <w:r w:rsidR="00995332" w:rsidRPr="0033605D">
        <w:rPr>
          <w:rFonts w:ascii="Verdana" w:hAnsi="Verdana"/>
          <w:sz w:val="20"/>
          <w:szCs w:val="20"/>
          <w:lang w:val="es-ES"/>
        </w:rPr>
        <w:t xml:space="preserve"> que </w:t>
      </w:r>
      <w:r w:rsidR="00570AC8" w:rsidRPr="0033605D">
        <w:rPr>
          <w:rFonts w:ascii="Verdana" w:hAnsi="Verdana"/>
          <w:sz w:val="20"/>
          <w:szCs w:val="20"/>
          <w:lang w:val="es-ES"/>
        </w:rPr>
        <w:t>la protección de este componente de los artículos 5, 7 y 11</w:t>
      </w:r>
      <w:r w:rsidR="00995332" w:rsidRPr="0033605D">
        <w:rPr>
          <w:rFonts w:ascii="Verdana" w:hAnsi="Verdana"/>
          <w:sz w:val="20"/>
          <w:szCs w:val="20"/>
          <w:lang w:val="es-ES"/>
        </w:rPr>
        <w:t xml:space="preserve"> </w:t>
      </w:r>
      <w:r w:rsidR="00C34EA4" w:rsidRPr="0033605D">
        <w:rPr>
          <w:rFonts w:ascii="Verdana" w:hAnsi="Verdana"/>
          <w:sz w:val="20"/>
          <w:szCs w:val="20"/>
          <w:lang w:val="es-ES"/>
        </w:rPr>
        <w:t xml:space="preserve">de la CADH </w:t>
      </w:r>
      <w:r w:rsidR="00995332" w:rsidRPr="0033605D">
        <w:rPr>
          <w:rFonts w:ascii="Verdana" w:hAnsi="Verdana"/>
          <w:sz w:val="20"/>
          <w:szCs w:val="20"/>
          <w:lang w:val="es-ES"/>
        </w:rPr>
        <w:t>resultaba particularmente relevante en el caso de las mujeres</w:t>
      </w:r>
      <w:r w:rsidR="006210A5" w:rsidRPr="0033605D">
        <w:rPr>
          <w:rFonts w:ascii="Verdana" w:hAnsi="Verdana"/>
          <w:sz w:val="20"/>
          <w:szCs w:val="20"/>
          <w:lang w:val="es-ES"/>
        </w:rPr>
        <w:t>, por su capacidad biológica de ser madres</w:t>
      </w:r>
      <w:r w:rsidR="00995332" w:rsidRPr="0033605D">
        <w:rPr>
          <w:rFonts w:ascii="Verdana" w:hAnsi="Verdana"/>
          <w:sz w:val="20"/>
          <w:szCs w:val="20"/>
          <w:lang w:val="es-ES"/>
        </w:rPr>
        <w:t xml:space="preserve">. </w:t>
      </w:r>
      <w:r w:rsidR="00C34EA4" w:rsidRPr="0033605D">
        <w:rPr>
          <w:rFonts w:ascii="Verdana" w:hAnsi="Verdana"/>
          <w:sz w:val="20"/>
          <w:szCs w:val="20"/>
          <w:lang w:val="es-ES"/>
        </w:rPr>
        <w:t>No obstante, a pesar de su estrecha relación con el caso de Beatriz, e</w:t>
      </w:r>
      <w:r w:rsidR="00A10DBD" w:rsidRPr="0033605D">
        <w:rPr>
          <w:rFonts w:ascii="Verdana" w:hAnsi="Verdana"/>
          <w:sz w:val="20"/>
          <w:szCs w:val="20"/>
          <w:lang w:val="es-ES"/>
        </w:rPr>
        <w:t>st</w:t>
      </w:r>
      <w:r w:rsidR="006210A5" w:rsidRPr="0033605D">
        <w:rPr>
          <w:rFonts w:ascii="Verdana" w:hAnsi="Verdana"/>
          <w:sz w:val="20"/>
          <w:szCs w:val="20"/>
          <w:lang w:val="es-ES"/>
        </w:rPr>
        <w:t>os</w:t>
      </w:r>
      <w:r w:rsidR="00A10DBD" w:rsidRPr="0033605D">
        <w:rPr>
          <w:rFonts w:ascii="Verdana" w:hAnsi="Verdana"/>
          <w:sz w:val="20"/>
          <w:szCs w:val="20"/>
          <w:lang w:val="es-ES"/>
        </w:rPr>
        <w:t xml:space="preserve"> precedente</w:t>
      </w:r>
      <w:r w:rsidR="006210A5" w:rsidRPr="0033605D">
        <w:rPr>
          <w:rFonts w:ascii="Verdana" w:hAnsi="Verdana"/>
          <w:sz w:val="20"/>
          <w:szCs w:val="20"/>
          <w:lang w:val="es-ES"/>
        </w:rPr>
        <w:t>s</w:t>
      </w:r>
      <w:r w:rsidR="00A10DBD" w:rsidRPr="0033605D">
        <w:rPr>
          <w:rFonts w:ascii="Verdana" w:hAnsi="Verdana"/>
          <w:sz w:val="20"/>
          <w:szCs w:val="20"/>
          <w:lang w:val="es-ES"/>
        </w:rPr>
        <w:t xml:space="preserve"> </w:t>
      </w:r>
      <w:r w:rsidR="00C34EA4" w:rsidRPr="0033605D">
        <w:rPr>
          <w:rFonts w:ascii="Verdana" w:hAnsi="Verdana"/>
          <w:sz w:val="20"/>
          <w:szCs w:val="20"/>
          <w:lang w:val="es-ES"/>
        </w:rPr>
        <w:t xml:space="preserve">se omitieron groseramente en la </w:t>
      </w:r>
      <w:r w:rsidR="003518B2">
        <w:rPr>
          <w:rFonts w:ascii="Verdana" w:hAnsi="Verdana"/>
          <w:sz w:val="20"/>
          <w:szCs w:val="20"/>
          <w:lang w:val="es-ES"/>
        </w:rPr>
        <w:t>S</w:t>
      </w:r>
      <w:r w:rsidR="00C34EA4" w:rsidRPr="0033605D">
        <w:rPr>
          <w:rFonts w:ascii="Verdana" w:hAnsi="Verdana"/>
          <w:sz w:val="20"/>
          <w:szCs w:val="20"/>
          <w:lang w:val="es-ES"/>
        </w:rPr>
        <w:t>entencia</w:t>
      </w:r>
      <w:r w:rsidR="00A10DBD" w:rsidRPr="0033605D">
        <w:rPr>
          <w:rFonts w:ascii="Verdana" w:hAnsi="Verdana"/>
          <w:sz w:val="20"/>
          <w:szCs w:val="20"/>
          <w:lang w:val="es-ES"/>
        </w:rPr>
        <w:t xml:space="preserve">, </w:t>
      </w:r>
      <w:r w:rsidR="006210A5" w:rsidRPr="0033605D">
        <w:rPr>
          <w:rFonts w:ascii="Verdana" w:hAnsi="Verdana"/>
          <w:sz w:val="20"/>
          <w:szCs w:val="20"/>
          <w:lang w:val="es-ES"/>
        </w:rPr>
        <w:t>pues</w:t>
      </w:r>
      <w:r w:rsidR="00A10DBD" w:rsidRPr="0033605D">
        <w:rPr>
          <w:rFonts w:ascii="Verdana" w:hAnsi="Verdana"/>
          <w:sz w:val="20"/>
          <w:szCs w:val="20"/>
          <w:lang w:val="es-ES"/>
        </w:rPr>
        <w:t xml:space="preserve"> la Corte prefirió abordar </w:t>
      </w:r>
      <w:r w:rsidR="00607F4E" w:rsidRPr="0033605D">
        <w:rPr>
          <w:rFonts w:ascii="Verdana" w:hAnsi="Verdana"/>
          <w:sz w:val="20"/>
          <w:szCs w:val="20"/>
          <w:lang w:val="es-ES"/>
        </w:rPr>
        <w:t>el asunto</w:t>
      </w:r>
      <w:r w:rsidR="00A10DBD" w:rsidRPr="0033605D">
        <w:rPr>
          <w:rFonts w:ascii="Verdana" w:hAnsi="Verdana"/>
          <w:sz w:val="20"/>
          <w:szCs w:val="20"/>
          <w:lang w:val="es-ES"/>
        </w:rPr>
        <w:t xml:space="preserve"> como una mera cuestión de falta de diligencia médic</w:t>
      </w:r>
      <w:r w:rsidR="006210A5" w:rsidRPr="0033605D">
        <w:rPr>
          <w:rFonts w:ascii="Verdana" w:hAnsi="Verdana"/>
          <w:sz w:val="20"/>
          <w:szCs w:val="20"/>
          <w:lang w:val="es-ES"/>
        </w:rPr>
        <w:t>a</w:t>
      </w:r>
      <w:r w:rsidR="00F32278" w:rsidRPr="0033605D">
        <w:rPr>
          <w:rFonts w:ascii="Verdana" w:hAnsi="Verdana"/>
          <w:sz w:val="20"/>
          <w:szCs w:val="20"/>
          <w:lang w:val="es-ES"/>
        </w:rPr>
        <w:t xml:space="preserve">, </w:t>
      </w:r>
      <w:r w:rsidR="008253AF" w:rsidRPr="0033605D">
        <w:rPr>
          <w:rFonts w:ascii="Verdana" w:hAnsi="Verdana"/>
          <w:sz w:val="20"/>
          <w:szCs w:val="20"/>
          <w:lang w:val="es-ES"/>
        </w:rPr>
        <w:t xml:space="preserve">privilegiando el concepto científico por sobre </w:t>
      </w:r>
      <w:r w:rsidR="000F73DE" w:rsidRPr="0033605D">
        <w:rPr>
          <w:rFonts w:ascii="Verdana" w:hAnsi="Verdana"/>
          <w:sz w:val="20"/>
          <w:szCs w:val="20"/>
          <w:lang w:val="es-ES"/>
        </w:rPr>
        <w:t>el volitivo individual</w:t>
      </w:r>
      <w:r w:rsidR="00A10DBD" w:rsidRPr="0033605D">
        <w:rPr>
          <w:rFonts w:ascii="Verdana" w:hAnsi="Verdana"/>
          <w:sz w:val="20"/>
          <w:szCs w:val="20"/>
          <w:lang w:val="es-ES"/>
        </w:rPr>
        <w:t xml:space="preserve">. </w:t>
      </w:r>
      <w:r w:rsidR="00D44FB9" w:rsidRPr="0033605D">
        <w:rPr>
          <w:rFonts w:ascii="Verdana" w:hAnsi="Verdana"/>
          <w:sz w:val="20"/>
          <w:szCs w:val="20"/>
          <w:lang w:val="es-ES"/>
        </w:rPr>
        <w:t xml:space="preserve">En mi criterio, </w:t>
      </w:r>
      <w:r w:rsidR="00992201" w:rsidRPr="0033605D">
        <w:rPr>
          <w:rFonts w:ascii="Verdana" w:hAnsi="Verdana"/>
          <w:sz w:val="20"/>
          <w:szCs w:val="20"/>
          <w:lang w:val="es-ES"/>
        </w:rPr>
        <w:t xml:space="preserve">y </w:t>
      </w:r>
      <w:r w:rsidR="00D44FB9" w:rsidRPr="0033605D">
        <w:rPr>
          <w:rFonts w:ascii="Verdana" w:hAnsi="Verdana"/>
          <w:sz w:val="20"/>
          <w:szCs w:val="20"/>
          <w:lang w:val="es-ES"/>
        </w:rPr>
        <w:t xml:space="preserve">de acuerdo con el precedente </w:t>
      </w:r>
      <w:r w:rsidR="00C34EA4" w:rsidRPr="0033605D">
        <w:rPr>
          <w:rFonts w:ascii="Verdana" w:hAnsi="Verdana"/>
          <w:sz w:val="20"/>
          <w:szCs w:val="20"/>
          <w:lang w:val="es-ES"/>
        </w:rPr>
        <w:t xml:space="preserve">consolidado, </w:t>
      </w:r>
      <w:r w:rsidR="00221144" w:rsidRPr="0033605D">
        <w:rPr>
          <w:rFonts w:ascii="Verdana" w:hAnsi="Verdana"/>
          <w:sz w:val="20"/>
          <w:szCs w:val="20"/>
          <w:lang w:val="es-ES"/>
        </w:rPr>
        <w:t xml:space="preserve">el Tribunal debió </w:t>
      </w:r>
      <w:r w:rsidR="00E505B0" w:rsidRPr="0033605D">
        <w:rPr>
          <w:rFonts w:ascii="Verdana" w:hAnsi="Verdana"/>
          <w:sz w:val="20"/>
          <w:szCs w:val="20"/>
          <w:lang w:val="es-ES"/>
        </w:rPr>
        <w:t>concluir</w:t>
      </w:r>
      <w:r w:rsidR="00221144" w:rsidRPr="0033605D">
        <w:rPr>
          <w:rFonts w:ascii="Verdana" w:hAnsi="Verdana"/>
          <w:sz w:val="20"/>
          <w:szCs w:val="20"/>
          <w:lang w:val="es-ES"/>
        </w:rPr>
        <w:t xml:space="preserve"> que la criminalización absoluta de la interrupción voluntaria del embarazo en este </w:t>
      </w:r>
      <w:r w:rsidR="00202745" w:rsidRPr="0033605D">
        <w:rPr>
          <w:rFonts w:ascii="Verdana" w:hAnsi="Verdana"/>
          <w:sz w:val="20"/>
          <w:szCs w:val="20"/>
          <w:lang w:val="es-ES"/>
        </w:rPr>
        <w:t>caso</w:t>
      </w:r>
      <w:r w:rsidR="00221144" w:rsidRPr="0033605D">
        <w:rPr>
          <w:rFonts w:ascii="Verdana" w:hAnsi="Verdana"/>
          <w:sz w:val="20"/>
          <w:szCs w:val="20"/>
          <w:lang w:val="es-ES"/>
        </w:rPr>
        <w:t xml:space="preserve"> </w:t>
      </w:r>
      <w:r w:rsidR="00D44FB9" w:rsidRPr="0033605D">
        <w:rPr>
          <w:rFonts w:ascii="Verdana" w:hAnsi="Verdana"/>
          <w:sz w:val="20"/>
          <w:szCs w:val="20"/>
          <w:lang w:val="es-ES"/>
        </w:rPr>
        <w:t xml:space="preserve">permitió </w:t>
      </w:r>
      <w:r w:rsidR="000E51D6" w:rsidRPr="0033605D">
        <w:rPr>
          <w:rFonts w:ascii="Verdana" w:hAnsi="Verdana"/>
          <w:sz w:val="20"/>
          <w:szCs w:val="20"/>
          <w:lang w:val="es-ES"/>
        </w:rPr>
        <w:t xml:space="preserve">que Beatriz fuera instrumentalizada </w:t>
      </w:r>
      <w:r w:rsidR="00CF2170" w:rsidRPr="0033605D">
        <w:rPr>
          <w:rFonts w:ascii="Verdana" w:hAnsi="Verdana"/>
          <w:sz w:val="20"/>
          <w:szCs w:val="20"/>
          <w:lang w:val="es-ES"/>
        </w:rPr>
        <w:t>y convertida en un medio para fines ajenos a las elecciones sobre su propia vida, su cuerpo y el desarrollo pleno de su personalidad</w:t>
      </w:r>
      <w:r w:rsidR="00821949" w:rsidRPr="0033605D">
        <w:rPr>
          <w:rStyle w:val="Refdenotaalpie"/>
          <w:rFonts w:ascii="Verdana" w:hAnsi="Verdana"/>
          <w:sz w:val="20"/>
          <w:szCs w:val="20"/>
          <w:lang w:val="es-ES"/>
        </w:rPr>
        <w:footnoteReference w:id="35"/>
      </w:r>
      <w:r w:rsidR="00821949" w:rsidRPr="0033605D">
        <w:rPr>
          <w:rFonts w:ascii="Verdana" w:hAnsi="Verdana"/>
          <w:sz w:val="20"/>
          <w:szCs w:val="20"/>
          <w:lang w:val="es-ES"/>
        </w:rPr>
        <w:t>.</w:t>
      </w:r>
      <w:r w:rsidR="00202745" w:rsidRPr="0033605D">
        <w:rPr>
          <w:rFonts w:ascii="Verdana" w:hAnsi="Verdana"/>
          <w:sz w:val="20"/>
          <w:szCs w:val="20"/>
          <w:lang w:val="es-ES"/>
        </w:rPr>
        <w:t xml:space="preserve"> Esta</w:t>
      </w:r>
      <w:r w:rsidR="00D44FB9" w:rsidRPr="0033605D">
        <w:rPr>
          <w:rFonts w:ascii="Verdana" w:hAnsi="Verdana"/>
          <w:sz w:val="20"/>
          <w:szCs w:val="20"/>
          <w:lang w:val="es-ES"/>
        </w:rPr>
        <w:t>s</w:t>
      </w:r>
      <w:r w:rsidR="00202745" w:rsidRPr="0033605D">
        <w:rPr>
          <w:rFonts w:ascii="Verdana" w:hAnsi="Verdana"/>
          <w:sz w:val="20"/>
          <w:szCs w:val="20"/>
          <w:lang w:val="es-ES"/>
        </w:rPr>
        <w:t xml:space="preserve"> </w:t>
      </w:r>
      <w:r w:rsidR="00D44FB9" w:rsidRPr="0033605D">
        <w:rPr>
          <w:rFonts w:ascii="Verdana" w:hAnsi="Verdana"/>
          <w:sz w:val="20"/>
          <w:szCs w:val="20"/>
          <w:lang w:val="es-ES"/>
        </w:rPr>
        <w:t>elecciones</w:t>
      </w:r>
      <w:r w:rsidR="00202745" w:rsidRPr="0033605D">
        <w:rPr>
          <w:rFonts w:ascii="Verdana" w:hAnsi="Verdana"/>
          <w:sz w:val="20"/>
          <w:szCs w:val="20"/>
          <w:lang w:val="es-ES"/>
        </w:rPr>
        <w:t xml:space="preserve">, se </w:t>
      </w:r>
      <w:r w:rsidR="000F73DE" w:rsidRPr="0033605D">
        <w:rPr>
          <w:rFonts w:ascii="Verdana" w:hAnsi="Verdana"/>
          <w:sz w:val="20"/>
          <w:szCs w:val="20"/>
          <w:lang w:val="es-ES"/>
        </w:rPr>
        <w:t>encontraba</w:t>
      </w:r>
      <w:r w:rsidR="00D44FB9" w:rsidRPr="0033605D">
        <w:rPr>
          <w:rFonts w:ascii="Verdana" w:hAnsi="Verdana"/>
          <w:sz w:val="20"/>
          <w:szCs w:val="20"/>
          <w:lang w:val="es-ES"/>
        </w:rPr>
        <w:t>n</w:t>
      </w:r>
      <w:r w:rsidR="000F73DE" w:rsidRPr="0033605D">
        <w:rPr>
          <w:rFonts w:ascii="Verdana" w:hAnsi="Verdana"/>
          <w:sz w:val="20"/>
          <w:szCs w:val="20"/>
          <w:lang w:val="es-ES"/>
        </w:rPr>
        <w:t>,</w:t>
      </w:r>
      <w:r w:rsidR="00202745" w:rsidRPr="0033605D">
        <w:rPr>
          <w:rFonts w:ascii="Verdana" w:hAnsi="Verdana"/>
          <w:sz w:val="20"/>
          <w:szCs w:val="20"/>
          <w:lang w:val="es-ES"/>
        </w:rPr>
        <w:t xml:space="preserve"> además, </w:t>
      </w:r>
      <w:r w:rsidR="00202745" w:rsidRPr="0033605D">
        <w:rPr>
          <w:rFonts w:ascii="Verdana" w:hAnsi="Verdana"/>
          <w:sz w:val="20"/>
          <w:szCs w:val="20"/>
          <w:lang w:val="es-ES"/>
        </w:rPr>
        <w:lastRenderedPageBreak/>
        <w:t>respaldada</w:t>
      </w:r>
      <w:r w:rsidR="00D44FB9" w:rsidRPr="0033605D">
        <w:rPr>
          <w:rFonts w:ascii="Verdana" w:hAnsi="Verdana"/>
          <w:sz w:val="20"/>
          <w:szCs w:val="20"/>
          <w:lang w:val="es-ES"/>
        </w:rPr>
        <w:t>s</w:t>
      </w:r>
      <w:r w:rsidR="00202745" w:rsidRPr="0033605D">
        <w:rPr>
          <w:rFonts w:ascii="Verdana" w:hAnsi="Verdana"/>
          <w:sz w:val="20"/>
          <w:szCs w:val="20"/>
          <w:lang w:val="es-ES"/>
        </w:rPr>
        <w:t xml:space="preserve"> en un criterio médico </w:t>
      </w:r>
      <w:r w:rsidR="0098268B" w:rsidRPr="0033605D">
        <w:rPr>
          <w:rFonts w:ascii="Verdana" w:hAnsi="Verdana"/>
          <w:sz w:val="20"/>
          <w:szCs w:val="20"/>
          <w:lang w:val="es-ES"/>
        </w:rPr>
        <w:t xml:space="preserve">que indicaba riesgos para la vida e integridad personal de </w:t>
      </w:r>
      <w:r w:rsidR="00455942" w:rsidRPr="0033605D">
        <w:rPr>
          <w:rFonts w:ascii="Verdana" w:hAnsi="Verdana"/>
          <w:sz w:val="20"/>
          <w:szCs w:val="20"/>
          <w:lang w:val="es-ES"/>
        </w:rPr>
        <w:t xml:space="preserve">la víctima en caso de no proceder con el tratamiento. Es decir, siguiendo la interpretación que privilegia la autonomía para tomar decisiones sobre el propio cuerpo, la salud y la reproducción, </w:t>
      </w:r>
      <w:r w:rsidR="00AE1334" w:rsidRPr="0033605D">
        <w:rPr>
          <w:rFonts w:ascii="Verdana" w:hAnsi="Verdana"/>
          <w:sz w:val="20"/>
          <w:szCs w:val="20"/>
          <w:lang w:val="es-ES"/>
        </w:rPr>
        <w:t xml:space="preserve">el principal deber que el Estado incumplió fue impedir que Beatriz </w:t>
      </w:r>
      <w:r w:rsidR="007D502E" w:rsidRPr="0033605D">
        <w:rPr>
          <w:rFonts w:ascii="Verdana" w:hAnsi="Verdana"/>
          <w:sz w:val="20"/>
          <w:szCs w:val="20"/>
          <w:lang w:val="es-ES"/>
        </w:rPr>
        <w:t xml:space="preserve">ejerciera </w:t>
      </w:r>
      <w:r w:rsidR="00D44FB9" w:rsidRPr="0033605D">
        <w:rPr>
          <w:rFonts w:ascii="Verdana" w:hAnsi="Verdana"/>
          <w:sz w:val="20"/>
          <w:szCs w:val="20"/>
          <w:lang w:val="es-ES"/>
        </w:rPr>
        <w:t xml:space="preserve">su derecho a tomar </w:t>
      </w:r>
      <w:r w:rsidR="00C34EA4" w:rsidRPr="0033605D">
        <w:rPr>
          <w:rFonts w:ascii="Verdana" w:hAnsi="Verdana"/>
          <w:sz w:val="20"/>
          <w:szCs w:val="20"/>
          <w:lang w:val="es-ES"/>
        </w:rPr>
        <w:t>una decisión</w:t>
      </w:r>
      <w:r w:rsidR="007D502E" w:rsidRPr="0033605D">
        <w:rPr>
          <w:rFonts w:ascii="Verdana" w:hAnsi="Verdana"/>
          <w:sz w:val="20"/>
          <w:szCs w:val="20"/>
          <w:lang w:val="es-ES"/>
        </w:rPr>
        <w:t xml:space="preserve"> </w:t>
      </w:r>
      <w:r w:rsidR="00897DFE" w:rsidRPr="0033605D">
        <w:rPr>
          <w:rFonts w:ascii="Verdana" w:hAnsi="Verdana"/>
          <w:sz w:val="20"/>
          <w:szCs w:val="20"/>
          <w:lang w:val="es-ES"/>
        </w:rPr>
        <w:t xml:space="preserve">sobre </w:t>
      </w:r>
      <w:r w:rsidR="00D44FB9" w:rsidRPr="0033605D">
        <w:rPr>
          <w:rFonts w:ascii="Verdana" w:hAnsi="Verdana"/>
          <w:sz w:val="20"/>
          <w:szCs w:val="20"/>
          <w:lang w:val="es-ES"/>
        </w:rPr>
        <w:t xml:space="preserve">el destino de un embarazo de un feto incompatible con la vida extrauterina, que implicaba riesgos para su propia vida y sobre el ejercicio de su maternidad respecto </w:t>
      </w:r>
      <w:r w:rsidR="002E5817" w:rsidRPr="0033605D">
        <w:rPr>
          <w:rFonts w:ascii="Verdana" w:hAnsi="Verdana"/>
          <w:sz w:val="20"/>
          <w:szCs w:val="20"/>
          <w:lang w:val="es-ES"/>
        </w:rPr>
        <w:t>de un hijo</w:t>
      </w:r>
      <w:r w:rsidR="00D44FB9" w:rsidRPr="0033605D">
        <w:rPr>
          <w:rFonts w:ascii="Verdana" w:hAnsi="Verdana"/>
          <w:sz w:val="20"/>
          <w:szCs w:val="20"/>
          <w:lang w:val="es-ES"/>
        </w:rPr>
        <w:t xml:space="preserve"> que para entonces tenía un año</w:t>
      </w:r>
      <w:r w:rsidR="000C3F5A" w:rsidRPr="0033605D">
        <w:rPr>
          <w:rFonts w:ascii="Verdana" w:hAnsi="Verdana"/>
          <w:sz w:val="20"/>
          <w:szCs w:val="20"/>
          <w:lang w:val="es-ES"/>
        </w:rPr>
        <w:t xml:space="preserve">.  </w:t>
      </w:r>
    </w:p>
    <w:p w14:paraId="7DEC6C46" w14:textId="4EF906D4" w:rsidR="00EA186A" w:rsidRPr="0033605D" w:rsidRDefault="003C2972"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E</w:t>
      </w:r>
      <w:r w:rsidR="00445865" w:rsidRPr="0033605D">
        <w:rPr>
          <w:rFonts w:ascii="Verdana" w:hAnsi="Verdana"/>
          <w:sz w:val="20"/>
          <w:szCs w:val="20"/>
          <w:lang w:val="es-ES"/>
        </w:rPr>
        <w:t xml:space="preserve">n este sentido, debo llamar la atención </w:t>
      </w:r>
      <w:r w:rsidR="00D44FB9" w:rsidRPr="0033605D">
        <w:rPr>
          <w:rFonts w:ascii="Verdana" w:hAnsi="Verdana"/>
          <w:sz w:val="20"/>
          <w:szCs w:val="20"/>
          <w:lang w:val="es-ES"/>
        </w:rPr>
        <w:t xml:space="preserve">sobre </w:t>
      </w:r>
      <w:r w:rsidR="00445865" w:rsidRPr="0033605D">
        <w:rPr>
          <w:rFonts w:ascii="Verdana" w:hAnsi="Verdana"/>
          <w:sz w:val="20"/>
          <w:szCs w:val="20"/>
          <w:lang w:val="es-ES"/>
        </w:rPr>
        <w:t>la</w:t>
      </w:r>
      <w:r w:rsidR="00172E3A" w:rsidRPr="0033605D">
        <w:rPr>
          <w:rFonts w:ascii="Verdana" w:hAnsi="Verdana"/>
          <w:sz w:val="20"/>
          <w:szCs w:val="20"/>
          <w:lang w:val="es-ES"/>
        </w:rPr>
        <w:t xml:space="preserve"> gravísima</w:t>
      </w:r>
      <w:r w:rsidR="00445865" w:rsidRPr="0033605D">
        <w:rPr>
          <w:rFonts w:ascii="Verdana" w:hAnsi="Verdana"/>
          <w:sz w:val="20"/>
          <w:szCs w:val="20"/>
          <w:lang w:val="es-ES"/>
        </w:rPr>
        <w:t xml:space="preserve"> falta de consideración de la Corte </w:t>
      </w:r>
      <w:r w:rsidR="00D44FB9" w:rsidRPr="0033605D">
        <w:rPr>
          <w:rFonts w:ascii="Verdana" w:hAnsi="Verdana"/>
          <w:sz w:val="20"/>
          <w:szCs w:val="20"/>
          <w:lang w:val="es-ES"/>
        </w:rPr>
        <w:t xml:space="preserve">a </w:t>
      </w:r>
      <w:r w:rsidR="00445865" w:rsidRPr="0033605D">
        <w:rPr>
          <w:rFonts w:ascii="Verdana" w:hAnsi="Verdana"/>
          <w:sz w:val="20"/>
          <w:szCs w:val="20"/>
          <w:lang w:val="es-ES"/>
        </w:rPr>
        <w:t xml:space="preserve">la manifestación escrita de Beatriz presentada ante la </w:t>
      </w:r>
      <w:r w:rsidR="00B9099B" w:rsidRPr="0033605D">
        <w:rPr>
          <w:rFonts w:ascii="Verdana" w:hAnsi="Verdana"/>
          <w:sz w:val="20"/>
          <w:szCs w:val="20"/>
        </w:rPr>
        <w:t xml:space="preserve">Sala de lo Constitucional </w:t>
      </w:r>
      <w:r w:rsidR="00445865" w:rsidRPr="0033605D">
        <w:rPr>
          <w:rFonts w:ascii="Verdana" w:hAnsi="Verdana"/>
          <w:sz w:val="20"/>
          <w:szCs w:val="20"/>
          <w:lang w:val="es-ES"/>
        </w:rPr>
        <w:t>en fecha</w:t>
      </w:r>
      <w:r w:rsidR="001A4B69" w:rsidRPr="0033605D">
        <w:rPr>
          <w:rFonts w:ascii="Verdana" w:hAnsi="Verdana"/>
          <w:sz w:val="20"/>
          <w:szCs w:val="20"/>
          <w:lang w:val="es-ES"/>
        </w:rPr>
        <w:t xml:space="preserve"> 7 de mayo de 2013</w:t>
      </w:r>
      <w:r w:rsidR="00445865" w:rsidRPr="0033605D">
        <w:rPr>
          <w:rFonts w:ascii="Verdana" w:hAnsi="Verdana"/>
          <w:sz w:val="20"/>
          <w:szCs w:val="20"/>
          <w:lang w:val="es-ES"/>
        </w:rPr>
        <w:t xml:space="preserve">, </w:t>
      </w:r>
      <w:r w:rsidR="00EA186A" w:rsidRPr="0033605D">
        <w:rPr>
          <w:rFonts w:ascii="Verdana" w:hAnsi="Verdana"/>
          <w:sz w:val="20"/>
          <w:szCs w:val="20"/>
          <w:lang w:val="es-ES"/>
        </w:rPr>
        <w:t>en la que afirmó</w:t>
      </w:r>
      <w:r w:rsidR="00D44FB9" w:rsidRPr="0033605D">
        <w:rPr>
          <w:rFonts w:ascii="Verdana" w:hAnsi="Verdana"/>
          <w:sz w:val="20"/>
          <w:szCs w:val="20"/>
          <w:lang w:val="es-ES"/>
        </w:rPr>
        <w:t>:</w:t>
      </w:r>
      <w:r w:rsidR="00EA186A" w:rsidRPr="0033605D">
        <w:rPr>
          <w:rFonts w:ascii="Verdana" w:hAnsi="Verdana"/>
          <w:sz w:val="20"/>
          <w:szCs w:val="20"/>
          <w:lang w:val="es-ES"/>
        </w:rPr>
        <w:t xml:space="preserve"> </w:t>
      </w:r>
    </w:p>
    <w:p w14:paraId="746A355B" w14:textId="5D87B826" w:rsidR="004D4687" w:rsidRPr="0033605D" w:rsidRDefault="001A4B69" w:rsidP="00DA5555">
      <w:pPr>
        <w:pStyle w:val="Prrafodelista"/>
        <w:autoSpaceDE w:val="0"/>
        <w:autoSpaceDN w:val="0"/>
        <w:adjustRightInd w:val="0"/>
        <w:spacing w:before="100" w:after="100" w:line="276" w:lineRule="auto"/>
        <w:ind w:left="567" w:right="567"/>
        <w:contextualSpacing w:val="0"/>
        <w:jc w:val="both"/>
        <w:rPr>
          <w:rFonts w:ascii="Verdana" w:hAnsi="Verdana"/>
          <w:sz w:val="18"/>
          <w:szCs w:val="18"/>
          <w:lang w:val="es-ES"/>
        </w:rPr>
      </w:pPr>
      <w:r w:rsidRPr="0033605D">
        <w:rPr>
          <w:rFonts w:ascii="Verdana" w:hAnsi="Verdana"/>
          <w:sz w:val="18"/>
          <w:szCs w:val="18"/>
          <w:lang w:val="es-ES"/>
        </w:rPr>
        <w:t xml:space="preserve">Tengo un </w:t>
      </w:r>
      <w:r w:rsidR="00C867AE" w:rsidRPr="0033605D">
        <w:rPr>
          <w:rFonts w:ascii="Verdana" w:hAnsi="Verdana"/>
          <w:sz w:val="18"/>
          <w:szCs w:val="18"/>
          <w:lang w:val="es-ES"/>
        </w:rPr>
        <w:t>embarazo</w:t>
      </w:r>
      <w:r w:rsidR="0088742E" w:rsidRPr="0033605D">
        <w:rPr>
          <w:rFonts w:ascii="Verdana" w:hAnsi="Verdana"/>
          <w:sz w:val="18"/>
          <w:szCs w:val="18"/>
          <w:lang w:val="es-ES"/>
        </w:rPr>
        <w:t xml:space="preserve"> de alto riesgo y sabiendo que no va a vivir el beb</w:t>
      </w:r>
      <w:r w:rsidR="00172E3A" w:rsidRPr="0033605D">
        <w:rPr>
          <w:rFonts w:ascii="Verdana" w:hAnsi="Verdana"/>
          <w:sz w:val="18"/>
          <w:szCs w:val="18"/>
          <w:lang w:val="es-ES"/>
        </w:rPr>
        <w:t>[</w:t>
      </w:r>
      <w:r w:rsidR="00D44FB9" w:rsidRPr="0033605D">
        <w:rPr>
          <w:rFonts w:ascii="Verdana" w:hAnsi="Verdana"/>
          <w:sz w:val="18"/>
          <w:szCs w:val="18"/>
          <w:lang w:val="es-ES"/>
        </w:rPr>
        <w:t>é</w:t>
      </w:r>
      <w:r w:rsidR="00172E3A" w:rsidRPr="0033605D">
        <w:rPr>
          <w:rFonts w:ascii="Verdana" w:hAnsi="Verdana"/>
          <w:sz w:val="18"/>
          <w:szCs w:val="18"/>
          <w:lang w:val="es-ES"/>
        </w:rPr>
        <w:t>]</w:t>
      </w:r>
      <w:r w:rsidR="0088742E" w:rsidRPr="0033605D">
        <w:rPr>
          <w:rFonts w:ascii="Verdana" w:hAnsi="Verdana"/>
          <w:sz w:val="18"/>
          <w:szCs w:val="18"/>
          <w:lang w:val="es-ES"/>
        </w:rPr>
        <w:t xml:space="preserve"> quiero pedirles que por favor me ayuden a interrumpir el embarazo todos saben que yo tengo un niño de un año y yo creo que ustedes no quisieran que el niño se quede sin madre y yo quiero vivir para </w:t>
      </w:r>
      <w:r w:rsidR="00D44FB9" w:rsidRPr="0033605D">
        <w:rPr>
          <w:rFonts w:ascii="Verdana" w:hAnsi="Verdana"/>
          <w:sz w:val="18"/>
          <w:szCs w:val="18"/>
          <w:lang w:val="es-ES"/>
        </w:rPr>
        <w:t xml:space="preserve">[é]l </w:t>
      </w:r>
      <w:r w:rsidR="0088742E" w:rsidRPr="0033605D">
        <w:rPr>
          <w:rFonts w:ascii="Verdana" w:hAnsi="Verdana"/>
          <w:sz w:val="18"/>
          <w:szCs w:val="18"/>
          <w:lang w:val="es-ES"/>
        </w:rPr>
        <w:t xml:space="preserve">para poder estar siempre con </w:t>
      </w:r>
      <w:r w:rsidR="00C867AE" w:rsidRPr="0033605D">
        <w:rPr>
          <w:rFonts w:ascii="Verdana" w:hAnsi="Verdana"/>
          <w:sz w:val="18"/>
          <w:szCs w:val="18"/>
          <w:lang w:val="es-ES"/>
        </w:rPr>
        <w:t>[é]</w:t>
      </w:r>
      <w:r w:rsidR="0088742E" w:rsidRPr="0033605D">
        <w:rPr>
          <w:rFonts w:ascii="Verdana" w:hAnsi="Verdana"/>
          <w:sz w:val="18"/>
          <w:szCs w:val="18"/>
          <w:lang w:val="es-ES"/>
        </w:rPr>
        <w:t xml:space="preserve">l y cuidarlo. </w:t>
      </w:r>
      <w:r w:rsidR="00C867AE" w:rsidRPr="0033605D">
        <w:rPr>
          <w:rFonts w:ascii="Verdana" w:hAnsi="Verdana"/>
          <w:sz w:val="18"/>
          <w:szCs w:val="18"/>
          <w:lang w:val="es-ES"/>
        </w:rPr>
        <w:t>Ahorita que yo me siento bien quiero que me ayuden y no cuando est</w:t>
      </w:r>
      <w:r w:rsidR="00D44FB9" w:rsidRPr="0033605D">
        <w:rPr>
          <w:rFonts w:ascii="Verdana" w:hAnsi="Verdana"/>
          <w:sz w:val="18"/>
          <w:szCs w:val="18"/>
          <w:lang w:val="es-ES"/>
        </w:rPr>
        <w:t>[é]</w:t>
      </w:r>
      <w:r w:rsidR="00C867AE" w:rsidRPr="0033605D">
        <w:rPr>
          <w:rFonts w:ascii="Verdana" w:hAnsi="Verdana"/>
          <w:sz w:val="18"/>
          <w:szCs w:val="18"/>
          <w:lang w:val="es-ES"/>
        </w:rPr>
        <w:t xml:space="preserve"> mucho más enferma</w:t>
      </w:r>
      <w:r w:rsidR="00C867AE" w:rsidRPr="0033605D">
        <w:rPr>
          <w:rStyle w:val="Refdenotaalpie"/>
          <w:rFonts w:ascii="Verdana" w:hAnsi="Verdana"/>
          <w:sz w:val="18"/>
          <w:szCs w:val="18"/>
          <w:lang w:val="es-ES"/>
        </w:rPr>
        <w:footnoteReference w:id="36"/>
      </w:r>
      <w:r w:rsidR="00C867AE" w:rsidRPr="0033605D">
        <w:rPr>
          <w:rFonts w:ascii="Verdana" w:hAnsi="Verdana"/>
          <w:sz w:val="18"/>
          <w:szCs w:val="18"/>
          <w:lang w:val="es-ES"/>
        </w:rPr>
        <w:t xml:space="preserve">. </w:t>
      </w:r>
      <w:r w:rsidR="0088742E" w:rsidRPr="0033605D">
        <w:rPr>
          <w:rFonts w:ascii="Verdana" w:hAnsi="Verdana"/>
          <w:sz w:val="18"/>
          <w:szCs w:val="18"/>
          <w:lang w:val="es-ES"/>
        </w:rPr>
        <w:t xml:space="preserve"> </w:t>
      </w:r>
    </w:p>
    <w:p w14:paraId="4E7D7006" w14:textId="6BC10768" w:rsidR="00275D64" w:rsidRPr="0033605D" w:rsidRDefault="006D6A52"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rPr>
      </w:pPr>
      <w:r w:rsidRPr="0033605D">
        <w:rPr>
          <w:rFonts w:ascii="Verdana" w:hAnsi="Verdana"/>
          <w:sz w:val="20"/>
          <w:szCs w:val="20"/>
        </w:rPr>
        <w:t>Además, e</w:t>
      </w:r>
      <w:r w:rsidR="00584AEB" w:rsidRPr="0033605D">
        <w:rPr>
          <w:rFonts w:ascii="Verdana" w:hAnsi="Verdana"/>
          <w:sz w:val="20"/>
          <w:szCs w:val="20"/>
        </w:rPr>
        <w:t xml:space="preserve">l </w:t>
      </w:r>
      <w:r w:rsidR="00F4160B" w:rsidRPr="0033605D">
        <w:rPr>
          <w:rFonts w:ascii="Verdana" w:hAnsi="Verdana"/>
          <w:sz w:val="20"/>
          <w:szCs w:val="20"/>
        </w:rPr>
        <w:t xml:space="preserve">Tribunal </w:t>
      </w:r>
      <w:r w:rsidR="00172E3A" w:rsidRPr="0033605D">
        <w:rPr>
          <w:rFonts w:ascii="Verdana" w:hAnsi="Verdana"/>
          <w:sz w:val="20"/>
          <w:szCs w:val="20"/>
        </w:rPr>
        <w:t>pasó por alto un análisis crucial sobre</w:t>
      </w:r>
      <w:r w:rsidR="00F4160B" w:rsidRPr="0033605D">
        <w:rPr>
          <w:rFonts w:ascii="Verdana" w:hAnsi="Verdana"/>
          <w:sz w:val="20"/>
          <w:szCs w:val="20"/>
        </w:rPr>
        <w:t xml:space="preserve"> la suficiencia de la </w:t>
      </w:r>
      <w:r w:rsidR="00F4160B" w:rsidRPr="0033605D">
        <w:rPr>
          <w:rFonts w:ascii="Verdana" w:hAnsi="Verdana"/>
          <w:sz w:val="20"/>
          <w:szCs w:val="20"/>
          <w:lang w:val="es-ES"/>
        </w:rPr>
        <w:t>información y los medios que le permitirían a Beatriz ejercer su derecho a decidir de forma libre y responsable el número de hijos que desea</w:t>
      </w:r>
      <w:r w:rsidR="00584AEB" w:rsidRPr="0033605D">
        <w:rPr>
          <w:rFonts w:ascii="Verdana" w:hAnsi="Verdana"/>
          <w:sz w:val="20"/>
          <w:szCs w:val="20"/>
          <w:lang w:val="es-ES"/>
        </w:rPr>
        <w:t>ba</w:t>
      </w:r>
      <w:r w:rsidR="00F4160B" w:rsidRPr="0033605D">
        <w:rPr>
          <w:rFonts w:ascii="Verdana" w:hAnsi="Verdana"/>
          <w:sz w:val="20"/>
          <w:szCs w:val="20"/>
          <w:lang w:val="es-ES"/>
        </w:rPr>
        <w:t xml:space="preserve"> tener y el intervalo de nacimientos, dadas sus circunstancias y las del feto. </w:t>
      </w:r>
      <w:r w:rsidR="007E5508" w:rsidRPr="0033605D">
        <w:rPr>
          <w:rFonts w:ascii="Verdana" w:hAnsi="Verdana"/>
          <w:sz w:val="20"/>
          <w:szCs w:val="20"/>
        </w:rPr>
        <w:t>Concretamente, no analizó sus manifestaciones descritas en la constancia de la trabajadora social que realizó la investigación social del caso a nombre de la Procuraduría General de la República, de la cual se desprendía que Beatriz estaba al tanto de su situación y que durante la entrevista manifestó estar de acuerdo con la recomendación médica de interrumpir su embarazo</w:t>
      </w:r>
      <w:r w:rsidR="007E5508" w:rsidRPr="0033605D">
        <w:rPr>
          <w:rStyle w:val="Refdenotaalpie"/>
          <w:rFonts w:ascii="Verdana" w:hAnsi="Verdana"/>
          <w:sz w:val="20"/>
          <w:szCs w:val="20"/>
        </w:rPr>
        <w:footnoteReference w:id="37"/>
      </w:r>
      <w:r w:rsidR="007E5508" w:rsidRPr="0033605D">
        <w:rPr>
          <w:rFonts w:ascii="Verdana" w:hAnsi="Verdana"/>
          <w:sz w:val="20"/>
          <w:szCs w:val="20"/>
        </w:rPr>
        <w:t>.</w:t>
      </w:r>
    </w:p>
    <w:p w14:paraId="562E6935" w14:textId="19945E3F" w:rsidR="00C50137" w:rsidRPr="0033605D" w:rsidRDefault="00445865"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rPr>
      </w:pPr>
      <w:r w:rsidRPr="0033605D">
        <w:rPr>
          <w:rFonts w:ascii="Verdana" w:hAnsi="Verdana"/>
          <w:sz w:val="20"/>
          <w:szCs w:val="20"/>
          <w:lang w:val="es-ES"/>
        </w:rPr>
        <w:t xml:space="preserve">En este sentido, </w:t>
      </w:r>
      <w:r w:rsidR="00172E3A" w:rsidRPr="0033605D">
        <w:rPr>
          <w:rFonts w:ascii="Verdana" w:hAnsi="Verdana"/>
          <w:sz w:val="20"/>
          <w:szCs w:val="20"/>
          <w:lang w:val="es-ES"/>
        </w:rPr>
        <w:t xml:space="preserve">es inadmisible que el Tribunal solo haya considerado la </w:t>
      </w:r>
      <w:r w:rsidR="00455001" w:rsidRPr="0033605D">
        <w:rPr>
          <w:rFonts w:ascii="Verdana" w:hAnsi="Verdana"/>
          <w:sz w:val="20"/>
          <w:szCs w:val="20"/>
          <w:lang w:val="es-ES"/>
        </w:rPr>
        <w:t>voluntad</w:t>
      </w:r>
      <w:r w:rsidR="00172E3A" w:rsidRPr="0033605D">
        <w:rPr>
          <w:rFonts w:ascii="Verdana" w:hAnsi="Verdana"/>
          <w:sz w:val="20"/>
          <w:szCs w:val="20"/>
          <w:lang w:val="es-ES"/>
        </w:rPr>
        <w:t xml:space="preserve"> de Beatriz</w:t>
      </w:r>
      <w:r w:rsidR="00455001" w:rsidRPr="0033605D">
        <w:rPr>
          <w:rFonts w:ascii="Verdana" w:hAnsi="Verdana"/>
          <w:sz w:val="20"/>
          <w:szCs w:val="20"/>
          <w:lang w:val="es-ES"/>
        </w:rPr>
        <w:t xml:space="preserve"> de interrumpir el embarazo</w:t>
      </w:r>
      <w:r w:rsidR="00F079CB" w:rsidRPr="0033605D">
        <w:rPr>
          <w:rFonts w:ascii="Verdana" w:hAnsi="Verdana"/>
          <w:sz w:val="20"/>
          <w:szCs w:val="20"/>
          <w:lang w:val="es-ES"/>
        </w:rPr>
        <w:t xml:space="preserve"> expresada </w:t>
      </w:r>
      <w:r w:rsidR="00DB6705" w:rsidRPr="0033605D">
        <w:rPr>
          <w:rFonts w:ascii="Verdana" w:hAnsi="Verdana"/>
          <w:sz w:val="20"/>
          <w:szCs w:val="20"/>
          <w:lang w:val="es-ES"/>
        </w:rPr>
        <w:t>a través del testimonio del médico</w:t>
      </w:r>
      <w:r w:rsidRPr="0033605D">
        <w:rPr>
          <w:rFonts w:ascii="Verdana" w:hAnsi="Verdana"/>
          <w:sz w:val="20"/>
          <w:szCs w:val="20"/>
          <w:lang w:val="es-ES"/>
        </w:rPr>
        <w:t xml:space="preserve"> </w:t>
      </w:r>
      <w:r w:rsidR="00C72A6F" w:rsidRPr="0033605D">
        <w:rPr>
          <w:rFonts w:ascii="Verdana" w:hAnsi="Verdana"/>
          <w:sz w:val="20"/>
          <w:szCs w:val="20"/>
          <w:lang w:val="es-ES"/>
        </w:rPr>
        <w:t xml:space="preserve">(párrafo </w:t>
      </w:r>
      <w:r w:rsidR="00700EC1" w:rsidRPr="0033605D">
        <w:rPr>
          <w:rFonts w:ascii="Verdana" w:hAnsi="Verdana"/>
          <w:sz w:val="20"/>
          <w:szCs w:val="20"/>
          <w:lang w:val="es-ES"/>
        </w:rPr>
        <w:t>14</w:t>
      </w:r>
      <w:r w:rsidR="00931AD2">
        <w:rPr>
          <w:rFonts w:ascii="Verdana" w:hAnsi="Verdana"/>
          <w:sz w:val="20"/>
          <w:szCs w:val="20"/>
          <w:lang w:val="es-ES"/>
        </w:rPr>
        <w:t>3</w:t>
      </w:r>
      <w:r w:rsidR="00C72A6F" w:rsidRPr="0033605D">
        <w:rPr>
          <w:rFonts w:ascii="Verdana" w:hAnsi="Verdana"/>
          <w:sz w:val="20"/>
          <w:szCs w:val="20"/>
          <w:lang w:val="es-ES"/>
        </w:rPr>
        <w:t>)</w:t>
      </w:r>
      <w:r w:rsidR="00B757DA" w:rsidRPr="0033605D">
        <w:rPr>
          <w:rFonts w:ascii="Verdana" w:hAnsi="Verdana"/>
          <w:sz w:val="20"/>
          <w:szCs w:val="20"/>
          <w:lang w:val="es-ES"/>
        </w:rPr>
        <w:t xml:space="preserve">. </w:t>
      </w:r>
      <w:r w:rsidR="00C72A6F" w:rsidRPr="0033605D">
        <w:rPr>
          <w:rFonts w:ascii="Verdana" w:hAnsi="Verdana"/>
          <w:sz w:val="20"/>
          <w:szCs w:val="20"/>
          <w:lang w:val="es-ES"/>
        </w:rPr>
        <w:t xml:space="preserve">Lo que </w:t>
      </w:r>
      <w:r w:rsidR="00172E3A" w:rsidRPr="0033605D">
        <w:rPr>
          <w:rFonts w:ascii="Verdana" w:hAnsi="Verdana"/>
          <w:sz w:val="20"/>
          <w:szCs w:val="20"/>
          <w:lang w:val="es-ES"/>
        </w:rPr>
        <w:t>la Corte</w:t>
      </w:r>
      <w:r w:rsidR="00C72A6F" w:rsidRPr="0033605D">
        <w:rPr>
          <w:rFonts w:ascii="Verdana" w:hAnsi="Verdana"/>
          <w:sz w:val="20"/>
          <w:szCs w:val="20"/>
          <w:lang w:val="es-ES"/>
        </w:rPr>
        <w:t xml:space="preserve"> debió hacer era </w:t>
      </w:r>
      <w:r w:rsidR="00B757DA" w:rsidRPr="0033605D">
        <w:rPr>
          <w:rFonts w:ascii="Verdana" w:hAnsi="Verdana"/>
          <w:sz w:val="20"/>
          <w:szCs w:val="20"/>
          <w:lang w:val="es-ES"/>
        </w:rPr>
        <w:t>considerar que</w:t>
      </w:r>
      <w:r w:rsidR="00172E3A" w:rsidRPr="0033605D">
        <w:rPr>
          <w:rFonts w:ascii="Verdana" w:hAnsi="Verdana"/>
          <w:sz w:val="20"/>
          <w:szCs w:val="20"/>
          <w:lang w:val="es-ES"/>
        </w:rPr>
        <w:t>,</w:t>
      </w:r>
      <w:r w:rsidR="00B757DA" w:rsidRPr="0033605D">
        <w:rPr>
          <w:rFonts w:ascii="Verdana" w:hAnsi="Verdana"/>
          <w:sz w:val="20"/>
          <w:szCs w:val="20"/>
          <w:lang w:val="es-ES"/>
        </w:rPr>
        <w:t xml:space="preserve"> </w:t>
      </w:r>
      <w:r w:rsidR="00397552" w:rsidRPr="0033605D">
        <w:rPr>
          <w:rFonts w:ascii="Verdana" w:hAnsi="Verdana"/>
          <w:sz w:val="20"/>
          <w:szCs w:val="20"/>
          <w:lang w:val="es-ES"/>
        </w:rPr>
        <w:t xml:space="preserve">durante </w:t>
      </w:r>
      <w:r w:rsidR="00172E3A" w:rsidRPr="0033605D">
        <w:rPr>
          <w:rFonts w:ascii="Verdana" w:hAnsi="Verdana"/>
          <w:sz w:val="20"/>
          <w:szCs w:val="20"/>
          <w:lang w:val="es-ES"/>
        </w:rPr>
        <w:t>el</w:t>
      </w:r>
      <w:r w:rsidR="00397552" w:rsidRPr="0033605D">
        <w:rPr>
          <w:rFonts w:ascii="Verdana" w:hAnsi="Verdana"/>
          <w:sz w:val="20"/>
          <w:szCs w:val="20"/>
          <w:lang w:val="es-ES"/>
        </w:rPr>
        <w:t xml:space="preserve"> embarazo</w:t>
      </w:r>
      <w:r w:rsidR="005B3B33" w:rsidRPr="0033605D">
        <w:rPr>
          <w:rFonts w:ascii="Verdana" w:hAnsi="Verdana"/>
          <w:sz w:val="20"/>
          <w:szCs w:val="20"/>
          <w:lang w:val="es-ES"/>
        </w:rPr>
        <w:t>, pese a su deseo de ser madre,</w:t>
      </w:r>
      <w:r w:rsidR="00397552" w:rsidRPr="0033605D">
        <w:rPr>
          <w:rFonts w:ascii="Verdana" w:hAnsi="Verdana"/>
          <w:sz w:val="20"/>
          <w:szCs w:val="20"/>
          <w:lang w:val="es-ES"/>
        </w:rPr>
        <w:t xml:space="preserve"> y cuando aún era posible </w:t>
      </w:r>
      <w:r w:rsidR="00806A33" w:rsidRPr="0033605D">
        <w:rPr>
          <w:rFonts w:ascii="Verdana" w:hAnsi="Verdana"/>
          <w:sz w:val="20"/>
          <w:szCs w:val="20"/>
          <w:lang w:val="es-ES"/>
        </w:rPr>
        <w:t xml:space="preserve">la </w:t>
      </w:r>
      <w:r w:rsidR="00397552" w:rsidRPr="0033605D">
        <w:rPr>
          <w:rFonts w:ascii="Verdana" w:hAnsi="Verdana"/>
          <w:sz w:val="20"/>
          <w:szCs w:val="20"/>
          <w:lang w:val="es-ES"/>
        </w:rPr>
        <w:t>interrupción</w:t>
      </w:r>
      <w:r w:rsidR="00455001" w:rsidRPr="0033605D">
        <w:rPr>
          <w:rFonts w:ascii="Verdana" w:hAnsi="Verdana"/>
          <w:sz w:val="20"/>
          <w:szCs w:val="20"/>
          <w:lang w:val="es-ES"/>
        </w:rPr>
        <w:t xml:space="preserve"> </w:t>
      </w:r>
      <w:r w:rsidR="00D75D16" w:rsidRPr="0033605D">
        <w:rPr>
          <w:rFonts w:ascii="Verdana" w:hAnsi="Verdana"/>
          <w:sz w:val="20"/>
          <w:szCs w:val="20"/>
          <w:lang w:val="es-ES"/>
        </w:rPr>
        <w:t>a través de medios menos invasivos</w:t>
      </w:r>
      <w:r w:rsidR="00B757DA" w:rsidRPr="0033605D">
        <w:rPr>
          <w:rFonts w:ascii="Verdana" w:hAnsi="Verdana"/>
          <w:sz w:val="20"/>
          <w:szCs w:val="20"/>
          <w:lang w:val="es-ES"/>
        </w:rPr>
        <w:t xml:space="preserve">, ella manifestó ante </w:t>
      </w:r>
      <w:r w:rsidR="00D31CD3" w:rsidRPr="0033605D">
        <w:rPr>
          <w:rFonts w:ascii="Verdana" w:hAnsi="Verdana"/>
          <w:sz w:val="20"/>
          <w:szCs w:val="20"/>
          <w:lang w:val="es-ES"/>
        </w:rPr>
        <w:t xml:space="preserve">la </w:t>
      </w:r>
      <w:r w:rsidR="00D31CD3" w:rsidRPr="0033605D">
        <w:rPr>
          <w:rFonts w:ascii="Verdana" w:hAnsi="Verdana"/>
          <w:sz w:val="20"/>
          <w:szCs w:val="20"/>
        </w:rPr>
        <w:t>Procuraduría General de la República</w:t>
      </w:r>
      <w:r w:rsidR="00D31CD3" w:rsidRPr="0033605D">
        <w:rPr>
          <w:rFonts w:ascii="Verdana" w:hAnsi="Verdana"/>
          <w:sz w:val="20"/>
          <w:szCs w:val="20"/>
          <w:lang w:val="es-ES"/>
        </w:rPr>
        <w:t xml:space="preserve"> </w:t>
      </w:r>
      <w:r w:rsidR="003A2F89" w:rsidRPr="0033605D">
        <w:rPr>
          <w:rFonts w:ascii="Verdana" w:hAnsi="Verdana"/>
          <w:sz w:val="20"/>
          <w:szCs w:val="20"/>
          <w:lang w:val="es-ES"/>
        </w:rPr>
        <w:t>y</w:t>
      </w:r>
      <w:r w:rsidR="00D31CD3" w:rsidRPr="0033605D">
        <w:rPr>
          <w:rFonts w:ascii="Verdana" w:hAnsi="Verdana"/>
          <w:sz w:val="20"/>
          <w:szCs w:val="20"/>
          <w:lang w:val="es-ES"/>
        </w:rPr>
        <w:t xml:space="preserve"> ante </w:t>
      </w:r>
      <w:r w:rsidR="00806A33" w:rsidRPr="0033605D">
        <w:rPr>
          <w:rFonts w:ascii="Verdana" w:hAnsi="Verdana"/>
          <w:sz w:val="20"/>
          <w:szCs w:val="20"/>
          <w:lang w:val="es-ES"/>
        </w:rPr>
        <w:t xml:space="preserve">la </w:t>
      </w:r>
      <w:r w:rsidR="00B9099B" w:rsidRPr="0033605D">
        <w:rPr>
          <w:rFonts w:ascii="Verdana" w:hAnsi="Verdana"/>
          <w:sz w:val="20"/>
          <w:szCs w:val="20"/>
        </w:rPr>
        <w:t>Sala de lo Constitucional</w:t>
      </w:r>
      <w:r w:rsidR="00806A33" w:rsidRPr="0033605D">
        <w:rPr>
          <w:rFonts w:ascii="Verdana" w:hAnsi="Verdana"/>
          <w:sz w:val="20"/>
          <w:szCs w:val="20"/>
          <w:lang w:val="es-ES"/>
        </w:rPr>
        <w:t xml:space="preserve"> </w:t>
      </w:r>
      <w:r w:rsidR="00DC7EE3" w:rsidRPr="0033605D">
        <w:rPr>
          <w:rFonts w:ascii="Verdana" w:hAnsi="Verdana"/>
          <w:sz w:val="20"/>
          <w:szCs w:val="20"/>
          <w:lang w:val="es-ES"/>
        </w:rPr>
        <w:t xml:space="preserve">la decisión </w:t>
      </w:r>
      <w:r w:rsidR="006D6A52" w:rsidRPr="0033605D">
        <w:rPr>
          <w:rFonts w:ascii="Verdana" w:hAnsi="Verdana"/>
          <w:sz w:val="20"/>
          <w:szCs w:val="20"/>
          <w:lang w:val="es-ES"/>
        </w:rPr>
        <w:t>de</w:t>
      </w:r>
      <w:r w:rsidR="00DC7EE3" w:rsidRPr="0033605D">
        <w:rPr>
          <w:rFonts w:ascii="Verdana" w:hAnsi="Verdana"/>
          <w:sz w:val="20"/>
          <w:szCs w:val="20"/>
          <w:lang w:val="es-ES"/>
        </w:rPr>
        <w:t xml:space="preserve"> </w:t>
      </w:r>
      <w:r w:rsidR="00172E3A" w:rsidRPr="0033605D">
        <w:rPr>
          <w:rFonts w:ascii="Verdana" w:hAnsi="Verdana"/>
          <w:sz w:val="20"/>
          <w:szCs w:val="20"/>
          <w:lang w:val="es-ES"/>
        </w:rPr>
        <w:t>la terminación anticipada de su</w:t>
      </w:r>
      <w:r w:rsidR="00DC7EE3" w:rsidRPr="0033605D">
        <w:rPr>
          <w:rFonts w:ascii="Verdana" w:hAnsi="Verdana"/>
          <w:sz w:val="20"/>
          <w:szCs w:val="20"/>
          <w:lang w:val="es-ES"/>
        </w:rPr>
        <w:t xml:space="preserve"> </w:t>
      </w:r>
      <w:r w:rsidR="00172E3A" w:rsidRPr="0033605D">
        <w:rPr>
          <w:rFonts w:ascii="Verdana" w:hAnsi="Verdana"/>
          <w:sz w:val="20"/>
          <w:szCs w:val="20"/>
          <w:lang w:val="es-ES"/>
        </w:rPr>
        <w:t>embarazo</w:t>
      </w:r>
      <w:r w:rsidR="00DB6705" w:rsidRPr="0033605D">
        <w:rPr>
          <w:rFonts w:ascii="Verdana" w:hAnsi="Verdana"/>
          <w:sz w:val="20"/>
          <w:szCs w:val="20"/>
          <w:lang w:val="es-ES"/>
        </w:rPr>
        <w:t>, así como sus temores, sus preocupaciones de vida y la protección que quería darle a su hijo ya nacido</w:t>
      </w:r>
      <w:r w:rsidR="00DC7EE3" w:rsidRPr="0033605D">
        <w:rPr>
          <w:rFonts w:ascii="Verdana" w:hAnsi="Verdana"/>
          <w:sz w:val="20"/>
          <w:szCs w:val="20"/>
          <w:lang w:val="es-ES"/>
        </w:rPr>
        <w:t>.</w:t>
      </w:r>
      <w:r w:rsidR="00BB3879" w:rsidRPr="0033605D">
        <w:rPr>
          <w:rFonts w:ascii="Verdana" w:hAnsi="Verdana"/>
          <w:sz w:val="20"/>
          <w:szCs w:val="20"/>
          <w:lang w:val="es-ES"/>
        </w:rPr>
        <w:t xml:space="preserve"> Est</w:t>
      </w:r>
      <w:r w:rsidR="00D31CD3" w:rsidRPr="0033605D">
        <w:rPr>
          <w:rFonts w:ascii="Verdana" w:hAnsi="Verdana"/>
          <w:sz w:val="20"/>
          <w:szCs w:val="20"/>
          <w:lang w:val="es-ES"/>
        </w:rPr>
        <w:t>os</w:t>
      </w:r>
      <w:r w:rsidR="00BB3879" w:rsidRPr="0033605D">
        <w:rPr>
          <w:rFonts w:ascii="Verdana" w:hAnsi="Verdana"/>
          <w:sz w:val="20"/>
          <w:szCs w:val="20"/>
          <w:lang w:val="es-ES"/>
        </w:rPr>
        <w:t xml:space="preserve"> organismo</w:t>
      </w:r>
      <w:r w:rsidR="00D31CD3" w:rsidRPr="0033605D">
        <w:rPr>
          <w:rFonts w:ascii="Verdana" w:hAnsi="Verdana"/>
          <w:sz w:val="20"/>
          <w:szCs w:val="20"/>
          <w:lang w:val="es-ES"/>
        </w:rPr>
        <w:t>s</w:t>
      </w:r>
      <w:r w:rsidR="00BB3879" w:rsidRPr="0033605D">
        <w:rPr>
          <w:rFonts w:ascii="Verdana" w:hAnsi="Verdana"/>
          <w:sz w:val="20"/>
          <w:szCs w:val="20"/>
          <w:lang w:val="es-ES"/>
        </w:rPr>
        <w:t xml:space="preserve"> era</w:t>
      </w:r>
      <w:r w:rsidR="00D31CD3" w:rsidRPr="0033605D">
        <w:rPr>
          <w:rFonts w:ascii="Verdana" w:hAnsi="Verdana"/>
          <w:sz w:val="20"/>
          <w:szCs w:val="20"/>
          <w:lang w:val="es-ES"/>
        </w:rPr>
        <w:t>n los</w:t>
      </w:r>
      <w:r w:rsidR="00BB3879" w:rsidRPr="0033605D">
        <w:rPr>
          <w:rFonts w:ascii="Verdana" w:hAnsi="Verdana"/>
          <w:sz w:val="20"/>
          <w:szCs w:val="20"/>
          <w:lang w:val="es-ES"/>
        </w:rPr>
        <w:t xml:space="preserve"> único</w:t>
      </w:r>
      <w:r w:rsidR="00D31CD3" w:rsidRPr="0033605D">
        <w:rPr>
          <w:rFonts w:ascii="Verdana" w:hAnsi="Verdana"/>
          <w:sz w:val="20"/>
          <w:szCs w:val="20"/>
          <w:lang w:val="es-ES"/>
        </w:rPr>
        <w:t>s</w:t>
      </w:r>
      <w:r w:rsidR="00BB3879" w:rsidRPr="0033605D">
        <w:rPr>
          <w:rFonts w:ascii="Verdana" w:hAnsi="Verdana"/>
          <w:sz w:val="20"/>
          <w:szCs w:val="20"/>
          <w:lang w:val="es-ES"/>
        </w:rPr>
        <w:t>, según había sido reiterado por los médicos, que podría</w:t>
      </w:r>
      <w:r w:rsidR="00D31CD3" w:rsidRPr="0033605D">
        <w:rPr>
          <w:rFonts w:ascii="Verdana" w:hAnsi="Verdana"/>
          <w:sz w:val="20"/>
          <w:szCs w:val="20"/>
          <w:lang w:val="es-ES"/>
        </w:rPr>
        <w:t>n</w:t>
      </w:r>
      <w:r w:rsidR="00BB3879" w:rsidRPr="0033605D">
        <w:rPr>
          <w:rFonts w:ascii="Verdana" w:hAnsi="Verdana"/>
          <w:sz w:val="20"/>
          <w:szCs w:val="20"/>
          <w:lang w:val="es-ES"/>
        </w:rPr>
        <w:t xml:space="preserve"> autorizar el tratamiento, pues </w:t>
      </w:r>
      <w:r w:rsidR="00FC6AC0" w:rsidRPr="0033605D">
        <w:rPr>
          <w:rFonts w:ascii="Verdana" w:hAnsi="Verdana"/>
          <w:sz w:val="20"/>
          <w:szCs w:val="20"/>
          <w:lang w:val="es-ES"/>
        </w:rPr>
        <w:t xml:space="preserve">los </w:t>
      </w:r>
      <w:r w:rsidR="00A5762E" w:rsidRPr="0033605D">
        <w:rPr>
          <w:rFonts w:ascii="Verdana" w:hAnsi="Verdana"/>
          <w:sz w:val="20"/>
          <w:szCs w:val="20"/>
          <w:lang w:val="es-ES"/>
        </w:rPr>
        <w:t>profesionales de la salud</w:t>
      </w:r>
      <w:r w:rsidR="00FC6AC0" w:rsidRPr="0033605D">
        <w:rPr>
          <w:rFonts w:ascii="Verdana" w:hAnsi="Verdana"/>
          <w:sz w:val="20"/>
          <w:szCs w:val="20"/>
          <w:lang w:val="es-ES"/>
        </w:rPr>
        <w:t xml:space="preserve"> </w:t>
      </w:r>
      <w:r w:rsidR="00BB3879" w:rsidRPr="0033605D">
        <w:rPr>
          <w:rFonts w:ascii="Verdana" w:hAnsi="Verdana"/>
          <w:sz w:val="20"/>
          <w:szCs w:val="20"/>
          <w:lang w:val="es-ES"/>
        </w:rPr>
        <w:t xml:space="preserve">no procederían </w:t>
      </w:r>
      <w:r w:rsidR="00270971" w:rsidRPr="0033605D">
        <w:rPr>
          <w:rFonts w:ascii="Verdana" w:hAnsi="Verdana"/>
          <w:sz w:val="20"/>
          <w:szCs w:val="20"/>
          <w:lang w:val="es-ES"/>
        </w:rPr>
        <w:t xml:space="preserve">a sabiendas de los riesgos jurídicos que podrían enfrentar debido a la criminalización absoluta del aborto. </w:t>
      </w:r>
      <w:r w:rsidR="00DC7EE3" w:rsidRPr="0033605D">
        <w:rPr>
          <w:rFonts w:ascii="Verdana" w:hAnsi="Verdana"/>
          <w:sz w:val="20"/>
          <w:szCs w:val="20"/>
          <w:lang w:val="es-ES"/>
        </w:rPr>
        <w:t xml:space="preserve"> </w:t>
      </w:r>
      <w:r w:rsidR="00DF4769" w:rsidRPr="0033605D">
        <w:rPr>
          <w:rFonts w:ascii="Verdana" w:hAnsi="Verdana"/>
          <w:sz w:val="20"/>
          <w:szCs w:val="20"/>
          <w:lang w:val="es-ES"/>
        </w:rPr>
        <w:t>En efecto, después del segundo Comité Médico expresaron, “a pesar de lo expuesto anteriormente y que estamos de acuerdo en el proceder, desde el punto de vista del conocimiento médico, pero todos estamos sujetos a las leyes del país y como profesionales del Hospital no podemos infringir la ley” (párrafo 5</w:t>
      </w:r>
      <w:r w:rsidR="005B2703">
        <w:rPr>
          <w:rFonts w:ascii="Verdana" w:hAnsi="Verdana"/>
          <w:sz w:val="20"/>
          <w:szCs w:val="20"/>
          <w:lang w:val="es-ES"/>
        </w:rPr>
        <w:t>3</w:t>
      </w:r>
      <w:r w:rsidR="00DF4769" w:rsidRPr="0033605D">
        <w:rPr>
          <w:rFonts w:ascii="Verdana" w:hAnsi="Verdana"/>
          <w:sz w:val="20"/>
          <w:szCs w:val="20"/>
          <w:lang w:val="es-ES"/>
        </w:rPr>
        <w:t xml:space="preserve">). </w:t>
      </w:r>
    </w:p>
    <w:p w14:paraId="6D84312B" w14:textId="44D2B19C" w:rsidR="0050433D" w:rsidRPr="0033605D" w:rsidRDefault="002C328F"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lastRenderedPageBreak/>
        <w:t>Además</w:t>
      </w:r>
      <w:r w:rsidR="000C32DB" w:rsidRPr="0033605D">
        <w:rPr>
          <w:rFonts w:ascii="Verdana" w:hAnsi="Verdana"/>
          <w:sz w:val="20"/>
          <w:szCs w:val="20"/>
          <w:lang w:val="es-ES"/>
        </w:rPr>
        <w:t xml:space="preserve"> de lo anterior</w:t>
      </w:r>
      <w:r w:rsidR="00F951AE" w:rsidRPr="0033605D">
        <w:rPr>
          <w:rFonts w:ascii="Verdana" w:hAnsi="Verdana"/>
          <w:sz w:val="20"/>
          <w:szCs w:val="20"/>
          <w:lang w:val="es-ES"/>
        </w:rPr>
        <w:t>,</w:t>
      </w:r>
      <w:r w:rsidR="000C32DB" w:rsidRPr="0033605D">
        <w:rPr>
          <w:rFonts w:ascii="Verdana" w:hAnsi="Verdana"/>
          <w:sz w:val="20"/>
          <w:szCs w:val="20"/>
          <w:lang w:val="es-ES"/>
        </w:rPr>
        <w:t xml:space="preserve"> </w:t>
      </w:r>
      <w:r w:rsidR="00606305" w:rsidRPr="0033605D">
        <w:rPr>
          <w:rFonts w:ascii="Verdana" w:hAnsi="Verdana"/>
          <w:sz w:val="20"/>
          <w:szCs w:val="20"/>
          <w:lang w:val="es-ES"/>
        </w:rPr>
        <w:t xml:space="preserve">es inaceptable </w:t>
      </w:r>
      <w:r w:rsidR="000C32DB" w:rsidRPr="0033605D">
        <w:rPr>
          <w:rFonts w:ascii="Verdana" w:hAnsi="Verdana"/>
          <w:sz w:val="20"/>
          <w:szCs w:val="20"/>
          <w:lang w:val="es-ES"/>
        </w:rPr>
        <w:t>que</w:t>
      </w:r>
      <w:r w:rsidRPr="0033605D">
        <w:rPr>
          <w:rFonts w:ascii="Verdana" w:hAnsi="Verdana"/>
          <w:sz w:val="20"/>
          <w:szCs w:val="20"/>
          <w:lang w:val="es-ES"/>
        </w:rPr>
        <w:t xml:space="preserve"> en la sentencia la Corte </w:t>
      </w:r>
      <w:r w:rsidR="00606305" w:rsidRPr="0033605D">
        <w:rPr>
          <w:rFonts w:ascii="Verdana" w:hAnsi="Verdana"/>
          <w:sz w:val="20"/>
          <w:szCs w:val="20"/>
          <w:lang w:val="es-ES"/>
        </w:rPr>
        <w:t xml:space="preserve">haya </w:t>
      </w:r>
      <w:r w:rsidRPr="0033605D">
        <w:rPr>
          <w:rFonts w:ascii="Verdana" w:hAnsi="Verdana"/>
          <w:sz w:val="20"/>
          <w:szCs w:val="20"/>
          <w:lang w:val="es-ES"/>
        </w:rPr>
        <w:t>obvi</w:t>
      </w:r>
      <w:r w:rsidR="00606305" w:rsidRPr="0033605D">
        <w:rPr>
          <w:rFonts w:ascii="Verdana" w:hAnsi="Verdana"/>
          <w:sz w:val="20"/>
          <w:szCs w:val="20"/>
          <w:lang w:val="es-ES"/>
        </w:rPr>
        <w:t>ado</w:t>
      </w:r>
      <w:r w:rsidRPr="0033605D">
        <w:rPr>
          <w:rFonts w:ascii="Verdana" w:hAnsi="Verdana"/>
          <w:sz w:val="20"/>
          <w:szCs w:val="20"/>
          <w:lang w:val="es-ES"/>
        </w:rPr>
        <w:t xml:space="preserve"> un análisis en perspectiva de </w:t>
      </w:r>
      <w:r w:rsidR="00356726" w:rsidRPr="0033605D">
        <w:rPr>
          <w:rFonts w:ascii="Verdana" w:hAnsi="Verdana"/>
          <w:sz w:val="20"/>
          <w:szCs w:val="20"/>
          <w:lang w:val="es-ES"/>
        </w:rPr>
        <w:t>género</w:t>
      </w:r>
      <w:r w:rsidR="007F7B4D" w:rsidRPr="0033605D">
        <w:rPr>
          <w:rFonts w:ascii="Verdana" w:hAnsi="Verdana"/>
          <w:sz w:val="20"/>
          <w:szCs w:val="20"/>
          <w:lang w:val="es-ES"/>
        </w:rPr>
        <w:t xml:space="preserve">. </w:t>
      </w:r>
      <w:r w:rsidR="00606305" w:rsidRPr="0033605D">
        <w:rPr>
          <w:rFonts w:ascii="Verdana" w:hAnsi="Verdana"/>
          <w:sz w:val="20"/>
          <w:szCs w:val="20"/>
          <w:lang w:val="es-ES"/>
        </w:rPr>
        <w:t>Como Tribunal de Derechos Humanos, que ha reconocido las prácticas de discriminación y violencia que afecta</w:t>
      </w:r>
      <w:r w:rsidR="00C97642" w:rsidRPr="0033605D">
        <w:rPr>
          <w:rFonts w:ascii="Verdana" w:hAnsi="Verdana"/>
          <w:sz w:val="20"/>
          <w:szCs w:val="20"/>
          <w:lang w:val="es-ES"/>
        </w:rPr>
        <w:t>n</w:t>
      </w:r>
      <w:r w:rsidR="00606305" w:rsidRPr="0033605D">
        <w:rPr>
          <w:rFonts w:ascii="Verdana" w:hAnsi="Verdana"/>
          <w:sz w:val="20"/>
          <w:szCs w:val="20"/>
          <w:lang w:val="es-ES"/>
        </w:rPr>
        <w:t xml:space="preserve"> a las mujeres y niñas de las Américas, la Corte debía</w:t>
      </w:r>
      <w:r w:rsidR="007F7B4D" w:rsidRPr="0033605D">
        <w:rPr>
          <w:rFonts w:ascii="Verdana" w:hAnsi="Verdana"/>
          <w:sz w:val="20"/>
          <w:szCs w:val="20"/>
          <w:lang w:val="es-ES"/>
        </w:rPr>
        <w:t xml:space="preserve"> reiterar su precedente definido desde el </w:t>
      </w:r>
      <w:r w:rsidR="007F7B4D" w:rsidRPr="0033605D">
        <w:rPr>
          <w:rFonts w:ascii="Verdana" w:hAnsi="Verdana"/>
          <w:i/>
          <w:iCs/>
          <w:sz w:val="20"/>
          <w:szCs w:val="20"/>
          <w:lang w:val="es-ES"/>
        </w:rPr>
        <w:t xml:space="preserve">caso I.V. </w:t>
      </w:r>
      <w:r w:rsidR="002A1379" w:rsidRPr="0033605D">
        <w:rPr>
          <w:rFonts w:ascii="Verdana" w:hAnsi="Verdana"/>
          <w:i/>
          <w:iCs/>
          <w:sz w:val="20"/>
          <w:szCs w:val="20"/>
          <w:lang w:val="es-ES"/>
        </w:rPr>
        <w:t>Vs</w:t>
      </w:r>
      <w:r w:rsidR="007F7B4D" w:rsidRPr="0033605D">
        <w:rPr>
          <w:rFonts w:ascii="Verdana" w:hAnsi="Verdana"/>
          <w:i/>
          <w:iCs/>
          <w:sz w:val="20"/>
          <w:szCs w:val="20"/>
          <w:lang w:val="es-ES"/>
        </w:rPr>
        <w:t>. Bolivia</w:t>
      </w:r>
      <w:r w:rsidR="007F7B4D" w:rsidRPr="0033605D">
        <w:rPr>
          <w:rFonts w:ascii="Verdana" w:hAnsi="Verdana"/>
          <w:sz w:val="20"/>
          <w:szCs w:val="20"/>
          <w:lang w:val="es-ES"/>
        </w:rPr>
        <w:t>, según el cual el a</w:t>
      </w:r>
      <w:r w:rsidRPr="0033605D">
        <w:rPr>
          <w:rFonts w:ascii="Verdana" w:hAnsi="Verdana"/>
          <w:sz w:val="20"/>
          <w:szCs w:val="20"/>
          <w:lang w:val="es-ES"/>
        </w:rPr>
        <w:t xml:space="preserve">lcance de los derechos sexuales y reproductivos de </w:t>
      </w:r>
      <w:r w:rsidR="007F7B4D" w:rsidRPr="0033605D">
        <w:rPr>
          <w:rFonts w:ascii="Verdana" w:hAnsi="Verdana"/>
          <w:sz w:val="20"/>
          <w:szCs w:val="20"/>
          <w:lang w:val="es-ES"/>
        </w:rPr>
        <w:t>las mujeres</w:t>
      </w:r>
      <w:r w:rsidRPr="0033605D">
        <w:rPr>
          <w:rFonts w:ascii="Verdana" w:hAnsi="Verdana"/>
          <w:sz w:val="20"/>
          <w:szCs w:val="20"/>
          <w:lang w:val="es-ES"/>
        </w:rPr>
        <w:t xml:space="preserve"> </w:t>
      </w:r>
      <w:r w:rsidR="00137FDF" w:rsidRPr="0033605D">
        <w:rPr>
          <w:rFonts w:ascii="Verdana" w:hAnsi="Verdana"/>
          <w:sz w:val="20"/>
          <w:szCs w:val="20"/>
          <w:lang w:val="es-ES"/>
        </w:rPr>
        <w:t xml:space="preserve">es </w:t>
      </w:r>
      <w:r w:rsidRPr="0033605D">
        <w:rPr>
          <w:rFonts w:ascii="Verdana" w:hAnsi="Verdana"/>
          <w:sz w:val="20"/>
          <w:szCs w:val="20"/>
          <w:lang w:val="es-ES"/>
        </w:rPr>
        <w:t xml:space="preserve">diferente </w:t>
      </w:r>
      <w:r w:rsidR="003A4B55" w:rsidRPr="0033605D">
        <w:rPr>
          <w:rFonts w:ascii="Verdana" w:hAnsi="Verdana"/>
          <w:sz w:val="20"/>
          <w:szCs w:val="20"/>
          <w:lang w:val="es-ES"/>
        </w:rPr>
        <w:t>al</w:t>
      </w:r>
      <w:r w:rsidRPr="0033605D">
        <w:rPr>
          <w:rFonts w:ascii="Verdana" w:hAnsi="Verdana"/>
          <w:sz w:val="20"/>
          <w:szCs w:val="20"/>
          <w:lang w:val="es-ES"/>
        </w:rPr>
        <w:t xml:space="preserve"> de los hombres, y que </w:t>
      </w:r>
      <w:r w:rsidR="00137FDF" w:rsidRPr="0033605D">
        <w:rPr>
          <w:rFonts w:ascii="Verdana" w:hAnsi="Verdana"/>
          <w:sz w:val="20"/>
          <w:szCs w:val="20"/>
          <w:lang w:val="es-ES"/>
        </w:rPr>
        <w:t xml:space="preserve">estos derechos </w:t>
      </w:r>
      <w:r w:rsidR="00B50D41" w:rsidRPr="0033605D">
        <w:rPr>
          <w:rFonts w:ascii="Verdana" w:hAnsi="Verdana"/>
          <w:sz w:val="20"/>
          <w:szCs w:val="20"/>
          <w:lang w:val="es-ES"/>
        </w:rPr>
        <w:t xml:space="preserve">han sido históricamente limitados </w:t>
      </w:r>
      <w:r w:rsidR="00137FDF" w:rsidRPr="0033605D">
        <w:rPr>
          <w:rFonts w:ascii="Verdana" w:hAnsi="Verdana"/>
          <w:sz w:val="20"/>
          <w:szCs w:val="20"/>
          <w:lang w:val="es-ES"/>
        </w:rPr>
        <w:t xml:space="preserve">para las mujeres </w:t>
      </w:r>
      <w:r w:rsidR="00B50D41" w:rsidRPr="0033605D">
        <w:rPr>
          <w:rFonts w:ascii="Verdana" w:hAnsi="Verdana"/>
          <w:sz w:val="20"/>
          <w:szCs w:val="20"/>
          <w:lang w:val="es-ES"/>
        </w:rPr>
        <w:t xml:space="preserve">por estereotipos negativos o perjudiciales. </w:t>
      </w:r>
      <w:r w:rsidR="00606305" w:rsidRPr="0033605D">
        <w:rPr>
          <w:rFonts w:ascii="Verdana" w:hAnsi="Verdana"/>
          <w:sz w:val="20"/>
          <w:szCs w:val="20"/>
          <w:lang w:val="es-ES"/>
        </w:rPr>
        <w:t>Asimismo</w:t>
      </w:r>
      <w:r w:rsidR="00B50D41" w:rsidRPr="0033605D">
        <w:rPr>
          <w:rFonts w:ascii="Verdana" w:hAnsi="Verdana"/>
          <w:sz w:val="20"/>
          <w:szCs w:val="20"/>
          <w:lang w:val="es-ES"/>
        </w:rPr>
        <w:t xml:space="preserve">, la Corte debía considerar, tal como lo hizo en el </w:t>
      </w:r>
      <w:r w:rsidR="00B50D41" w:rsidRPr="0033605D">
        <w:rPr>
          <w:rFonts w:ascii="Verdana" w:hAnsi="Verdana"/>
          <w:i/>
          <w:iCs/>
          <w:sz w:val="20"/>
          <w:szCs w:val="20"/>
          <w:lang w:val="es-ES"/>
        </w:rPr>
        <w:t xml:space="preserve">caso Manuela </w:t>
      </w:r>
      <w:r w:rsidR="00137FDF" w:rsidRPr="0033605D">
        <w:rPr>
          <w:rFonts w:ascii="Verdana" w:hAnsi="Verdana"/>
          <w:i/>
          <w:iCs/>
          <w:sz w:val="20"/>
          <w:szCs w:val="20"/>
          <w:lang w:val="es-ES"/>
        </w:rPr>
        <w:t>V</w:t>
      </w:r>
      <w:r w:rsidR="00B50D41" w:rsidRPr="0033605D">
        <w:rPr>
          <w:rFonts w:ascii="Verdana" w:hAnsi="Verdana"/>
          <w:i/>
          <w:iCs/>
          <w:sz w:val="20"/>
          <w:szCs w:val="20"/>
          <w:lang w:val="es-ES"/>
        </w:rPr>
        <w:t>s. El Salvador</w:t>
      </w:r>
      <w:r w:rsidR="00B50D41" w:rsidRPr="0033605D">
        <w:rPr>
          <w:rFonts w:ascii="Verdana" w:hAnsi="Verdana"/>
          <w:sz w:val="20"/>
          <w:szCs w:val="20"/>
          <w:lang w:val="es-ES"/>
        </w:rPr>
        <w:t xml:space="preserve">, que </w:t>
      </w:r>
      <w:r w:rsidR="001F4376" w:rsidRPr="0033605D">
        <w:rPr>
          <w:rFonts w:ascii="Verdana" w:hAnsi="Verdana"/>
          <w:sz w:val="20"/>
          <w:szCs w:val="20"/>
          <w:lang w:val="es-ES"/>
        </w:rPr>
        <w:t>la falta de atención médica adecuada en el embarazo o en el parto</w:t>
      </w:r>
      <w:r w:rsidR="00CB5BCD" w:rsidRPr="0033605D">
        <w:rPr>
          <w:rFonts w:ascii="Verdana" w:hAnsi="Verdana"/>
          <w:sz w:val="20"/>
          <w:szCs w:val="20"/>
          <w:lang w:val="es-ES"/>
        </w:rPr>
        <w:t>, en hospitales públicos y en el contexto de criminalización del aborto en dicho Estado,</w:t>
      </w:r>
      <w:r w:rsidR="001F4376" w:rsidRPr="0033605D">
        <w:rPr>
          <w:rFonts w:ascii="Verdana" w:hAnsi="Verdana"/>
          <w:sz w:val="20"/>
          <w:szCs w:val="20"/>
          <w:lang w:val="es-ES"/>
        </w:rPr>
        <w:t xml:space="preserve"> </w:t>
      </w:r>
      <w:r w:rsidR="00CB5BCD" w:rsidRPr="0033605D">
        <w:rPr>
          <w:rFonts w:ascii="Verdana" w:hAnsi="Verdana"/>
          <w:sz w:val="20"/>
          <w:szCs w:val="20"/>
          <w:lang w:val="es-ES"/>
        </w:rPr>
        <w:t>constituye</w:t>
      </w:r>
      <w:r w:rsidR="001F4376" w:rsidRPr="0033605D">
        <w:rPr>
          <w:rFonts w:ascii="Verdana" w:hAnsi="Verdana"/>
          <w:sz w:val="20"/>
          <w:szCs w:val="20"/>
          <w:lang w:val="es-ES"/>
        </w:rPr>
        <w:t xml:space="preserve"> un </w:t>
      </w:r>
      <w:r w:rsidR="00356726" w:rsidRPr="0033605D">
        <w:rPr>
          <w:rFonts w:ascii="Verdana" w:hAnsi="Verdana"/>
          <w:sz w:val="20"/>
          <w:szCs w:val="20"/>
          <w:lang w:val="es-ES"/>
        </w:rPr>
        <w:t>acto de discriminación</w:t>
      </w:r>
      <w:r w:rsidR="00CB5BCD" w:rsidRPr="0033605D">
        <w:rPr>
          <w:rFonts w:ascii="Verdana" w:hAnsi="Verdana"/>
          <w:sz w:val="20"/>
          <w:szCs w:val="20"/>
          <w:lang w:val="es-ES"/>
        </w:rPr>
        <w:t xml:space="preserve">. </w:t>
      </w:r>
      <w:r w:rsidR="00606305" w:rsidRPr="0033605D">
        <w:rPr>
          <w:rFonts w:ascii="Verdana" w:hAnsi="Verdana"/>
          <w:sz w:val="20"/>
          <w:szCs w:val="20"/>
          <w:lang w:val="es-ES"/>
        </w:rPr>
        <w:t xml:space="preserve">No obstante, en oposición al rol protector que suele asumir </w:t>
      </w:r>
      <w:r w:rsidR="00C97642" w:rsidRPr="0033605D">
        <w:rPr>
          <w:rFonts w:ascii="Verdana" w:hAnsi="Verdana"/>
          <w:sz w:val="20"/>
          <w:szCs w:val="20"/>
          <w:lang w:val="es-ES"/>
        </w:rPr>
        <w:t>este</w:t>
      </w:r>
      <w:r w:rsidR="00606305" w:rsidRPr="0033605D">
        <w:rPr>
          <w:rFonts w:ascii="Verdana" w:hAnsi="Verdana"/>
          <w:sz w:val="20"/>
          <w:szCs w:val="20"/>
          <w:lang w:val="es-ES"/>
        </w:rPr>
        <w:t xml:space="preserve"> Tribunal en su función contenciosa, </w:t>
      </w:r>
      <w:r w:rsidR="00C006E3" w:rsidRPr="0033605D">
        <w:rPr>
          <w:rFonts w:ascii="Verdana" w:hAnsi="Verdana"/>
          <w:sz w:val="20"/>
          <w:szCs w:val="20"/>
          <w:lang w:val="es-ES"/>
        </w:rPr>
        <w:t xml:space="preserve">ignoró </w:t>
      </w:r>
      <w:r w:rsidR="00606305" w:rsidRPr="0033605D">
        <w:rPr>
          <w:rFonts w:ascii="Verdana" w:hAnsi="Verdana"/>
          <w:sz w:val="20"/>
          <w:szCs w:val="20"/>
          <w:lang w:val="es-ES"/>
        </w:rPr>
        <w:t>que,</w:t>
      </w:r>
      <w:r w:rsidR="00C006E3" w:rsidRPr="0033605D">
        <w:rPr>
          <w:rFonts w:ascii="Verdana" w:hAnsi="Verdana"/>
          <w:sz w:val="20"/>
          <w:szCs w:val="20"/>
          <w:lang w:val="es-ES"/>
        </w:rPr>
        <w:t xml:space="preserve"> </w:t>
      </w:r>
      <w:r w:rsidR="00606305" w:rsidRPr="0033605D">
        <w:rPr>
          <w:rFonts w:ascii="Verdana" w:hAnsi="Verdana"/>
          <w:sz w:val="20"/>
          <w:szCs w:val="20"/>
          <w:lang w:val="es-ES"/>
        </w:rPr>
        <w:t xml:space="preserve">por </w:t>
      </w:r>
      <w:r w:rsidR="00C006E3" w:rsidRPr="0033605D">
        <w:rPr>
          <w:rFonts w:ascii="Verdana" w:hAnsi="Verdana"/>
          <w:sz w:val="20"/>
          <w:szCs w:val="20"/>
          <w:lang w:val="es-ES"/>
        </w:rPr>
        <w:t>su condición de madre de un niño de</w:t>
      </w:r>
      <w:r w:rsidR="00EB17BD" w:rsidRPr="0033605D">
        <w:rPr>
          <w:rFonts w:ascii="Verdana" w:hAnsi="Verdana"/>
          <w:sz w:val="20"/>
          <w:szCs w:val="20"/>
          <w:lang w:val="es-ES"/>
        </w:rPr>
        <w:t xml:space="preserve"> 13 meses, y de mujer gestante, </w:t>
      </w:r>
      <w:r w:rsidR="00606305" w:rsidRPr="0033605D">
        <w:rPr>
          <w:rFonts w:ascii="Verdana" w:hAnsi="Verdana"/>
          <w:sz w:val="20"/>
          <w:szCs w:val="20"/>
          <w:lang w:val="es-ES"/>
        </w:rPr>
        <w:t>existían múltiples</w:t>
      </w:r>
      <w:r w:rsidR="00EB17BD" w:rsidRPr="0033605D">
        <w:rPr>
          <w:rFonts w:ascii="Verdana" w:hAnsi="Verdana"/>
          <w:sz w:val="20"/>
          <w:szCs w:val="20"/>
          <w:lang w:val="es-ES"/>
        </w:rPr>
        <w:t xml:space="preserve"> estereotipos y cargas sociales </w:t>
      </w:r>
      <w:r w:rsidR="00083F38" w:rsidRPr="0033605D">
        <w:rPr>
          <w:rFonts w:ascii="Verdana" w:hAnsi="Verdana"/>
          <w:sz w:val="20"/>
          <w:szCs w:val="20"/>
          <w:lang w:val="es-ES"/>
        </w:rPr>
        <w:t xml:space="preserve">que le </w:t>
      </w:r>
      <w:r w:rsidR="00137FDF" w:rsidRPr="0033605D">
        <w:rPr>
          <w:rFonts w:ascii="Verdana" w:hAnsi="Verdana"/>
          <w:sz w:val="20"/>
          <w:szCs w:val="20"/>
          <w:lang w:val="es-ES"/>
        </w:rPr>
        <w:t xml:space="preserve">imponían </w:t>
      </w:r>
      <w:r w:rsidR="00606305" w:rsidRPr="0033605D">
        <w:rPr>
          <w:rFonts w:ascii="Verdana" w:hAnsi="Verdana"/>
          <w:sz w:val="20"/>
          <w:szCs w:val="20"/>
          <w:lang w:val="es-ES"/>
        </w:rPr>
        <w:t xml:space="preserve">a Beatriz </w:t>
      </w:r>
      <w:r w:rsidR="00083F38" w:rsidRPr="0033605D">
        <w:rPr>
          <w:rFonts w:ascii="Verdana" w:hAnsi="Verdana"/>
          <w:sz w:val="20"/>
          <w:szCs w:val="20"/>
          <w:lang w:val="es-ES"/>
        </w:rPr>
        <w:t xml:space="preserve">privilegiar este rol por sobre su vida e integridad. </w:t>
      </w:r>
    </w:p>
    <w:p w14:paraId="2E53C465" w14:textId="29D865A8" w:rsidR="00704D31" w:rsidRPr="0033605D" w:rsidRDefault="0050433D"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Asimismo</w:t>
      </w:r>
      <w:r w:rsidR="00083F38" w:rsidRPr="0033605D">
        <w:rPr>
          <w:rFonts w:ascii="Verdana" w:hAnsi="Verdana"/>
          <w:sz w:val="20"/>
          <w:szCs w:val="20"/>
          <w:lang w:val="es-ES"/>
        </w:rPr>
        <w:t xml:space="preserve">, </w:t>
      </w:r>
      <w:r w:rsidR="004B0FE3" w:rsidRPr="0033605D">
        <w:rPr>
          <w:rFonts w:ascii="Verdana" w:hAnsi="Verdana"/>
          <w:sz w:val="20"/>
          <w:szCs w:val="20"/>
          <w:lang w:val="es-ES"/>
        </w:rPr>
        <w:t>el Tribunal no tomó en consideración que esta imposibilidad de tomar decisiones sobre su propio cuerpo</w:t>
      </w:r>
      <w:r w:rsidR="005D490E" w:rsidRPr="0033605D">
        <w:rPr>
          <w:rFonts w:ascii="Verdana" w:hAnsi="Verdana"/>
          <w:sz w:val="20"/>
          <w:szCs w:val="20"/>
          <w:lang w:val="es-ES"/>
        </w:rPr>
        <w:t>, especialmente cuando esto resultaba necesario también para proteger su vida e integridad</w:t>
      </w:r>
      <w:r w:rsidR="00D07BA9" w:rsidRPr="0033605D">
        <w:rPr>
          <w:rFonts w:ascii="Verdana" w:hAnsi="Verdana"/>
          <w:sz w:val="20"/>
          <w:szCs w:val="20"/>
          <w:lang w:val="es-ES"/>
        </w:rPr>
        <w:t xml:space="preserve"> y con conocimiento de la inviabilidad de la vida del feto</w:t>
      </w:r>
      <w:r w:rsidR="005D490E" w:rsidRPr="0033605D">
        <w:rPr>
          <w:rFonts w:ascii="Verdana" w:hAnsi="Verdana"/>
          <w:sz w:val="20"/>
          <w:szCs w:val="20"/>
          <w:lang w:val="es-ES"/>
        </w:rPr>
        <w:t xml:space="preserve">, es una carga que no se impone a las mujeres </w:t>
      </w:r>
      <w:r w:rsidR="00AD6AD8" w:rsidRPr="0033605D">
        <w:rPr>
          <w:rFonts w:ascii="Verdana" w:hAnsi="Verdana"/>
          <w:sz w:val="20"/>
          <w:szCs w:val="20"/>
          <w:lang w:val="es-ES"/>
        </w:rPr>
        <w:t>que acuden a hospitales privados en El Salvador.</w:t>
      </w:r>
      <w:r w:rsidR="00D07BA9" w:rsidRPr="0033605D">
        <w:rPr>
          <w:rFonts w:ascii="Verdana" w:hAnsi="Verdana"/>
          <w:sz w:val="20"/>
          <w:szCs w:val="20"/>
          <w:lang w:val="es-ES"/>
        </w:rPr>
        <w:t xml:space="preserve"> </w:t>
      </w:r>
      <w:r w:rsidR="000C4BCA" w:rsidRPr="0033605D">
        <w:rPr>
          <w:rFonts w:ascii="Verdana" w:hAnsi="Verdana"/>
          <w:sz w:val="20"/>
          <w:szCs w:val="20"/>
          <w:lang w:val="es-ES"/>
        </w:rPr>
        <w:t>En este sentido son inaceptables los argumentos del Estado</w:t>
      </w:r>
      <w:r w:rsidR="009E082D" w:rsidRPr="0033605D">
        <w:rPr>
          <w:rFonts w:ascii="Verdana" w:hAnsi="Verdana"/>
          <w:sz w:val="20"/>
          <w:szCs w:val="20"/>
          <w:lang w:val="es-ES"/>
        </w:rPr>
        <w:t>,</w:t>
      </w:r>
      <w:r w:rsidR="000C4BCA" w:rsidRPr="0033605D">
        <w:rPr>
          <w:rFonts w:ascii="Verdana" w:hAnsi="Verdana"/>
          <w:sz w:val="20"/>
          <w:szCs w:val="20"/>
          <w:lang w:val="es-ES"/>
        </w:rPr>
        <w:t xml:space="preserve"> según los cuales el feto </w:t>
      </w:r>
      <w:r w:rsidR="009E082D" w:rsidRPr="0033605D">
        <w:rPr>
          <w:rFonts w:ascii="Verdana" w:hAnsi="Verdana"/>
          <w:sz w:val="20"/>
          <w:szCs w:val="20"/>
          <w:lang w:val="es-ES"/>
        </w:rPr>
        <w:t>debía tener</w:t>
      </w:r>
      <w:r w:rsidR="000C4BCA" w:rsidRPr="0033605D">
        <w:rPr>
          <w:rFonts w:ascii="Verdana" w:hAnsi="Verdana"/>
          <w:sz w:val="20"/>
          <w:szCs w:val="20"/>
          <w:lang w:val="es-ES"/>
        </w:rPr>
        <w:t xml:space="preserve"> una protección especial</w:t>
      </w:r>
      <w:r w:rsidR="009E082D" w:rsidRPr="0033605D">
        <w:rPr>
          <w:rFonts w:ascii="Verdana" w:hAnsi="Verdana"/>
          <w:sz w:val="20"/>
          <w:szCs w:val="20"/>
          <w:lang w:val="es-ES"/>
        </w:rPr>
        <w:t xml:space="preserve">, </w:t>
      </w:r>
      <w:r w:rsidR="000C4BCA" w:rsidRPr="0033605D">
        <w:rPr>
          <w:rFonts w:ascii="Verdana" w:hAnsi="Verdana"/>
          <w:sz w:val="20"/>
          <w:szCs w:val="20"/>
          <w:lang w:val="es-ES"/>
        </w:rPr>
        <w:t>por su condición de niña con discapacidad</w:t>
      </w:r>
      <w:r w:rsidR="009E082D" w:rsidRPr="0033605D">
        <w:rPr>
          <w:rStyle w:val="Refdenotaalpie"/>
          <w:rFonts w:ascii="Verdana" w:hAnsi="Verdana"/>
          <w:sz w:val="20"/>
          <w:szCs w:val="20"/>
          <w:lang w:val="es-ES"/>
        </w:rPr>
        <w:footnoteReference w:id="38"/>
      </w:r>
      <w:r w:rsidR="000C4BCA" w:rsidRPr="0033605D">
        <w:rPr>
          <w:rFonts w:ascii="Verdana" w:hAnsi="Verdana"/>
          <w:sz w:val="20"/>
          <w:szCs w:val="20"/>
          <w:lang w:val="es-ES"/>
        </w:rPr>
        <w:t>. Si bien</w:t>
      </w:r>
      <w:r w:rsidR="009E082D" w:rsidRPr="0033605D">
        <w:rPr>
          <w:rFonts w:ascii="Verdana" w:hAnsi="Verdana"/>
          <w:sz w:val="20"/>
          <w:szCs w:val="20"/>
          <w:lang w:val="es-ES"/>
        </w:rPr>
        <w:t>,</w:t>
      </w:r>
      <w:r w:rsidR="000C4BCA" w:rsidRPr="0033605D">
        <w:rPr>
          <w:rFonts w:ascii="Verdana" w:hAnsi="Verdana"/>
          <w:sz w:val="20"/>
          <w:szCs w:val="20"/>
          <w:lang w:val="es-ES"/>
        </w:rPr>
        <w:t xml:space="preserve"> en virtud de la protección gradual e incremental del derecho a la vida el feto contaba con cierto grado de protección, este no se asimila al de una niña con discapacidad dado que era incuestionable </w:t>
      </w:r>
      <w:r w:rsidR="009E082D" w:rsidRPr="0033605D">
        <w:rPr>
          <w:rFonts w:ascii="Verdana" w:hAnsi="Verdana"/>
          <w:sz w:val="20"/>
          <w:szCs w:val="20"/>
          <w:lang w:val="es-ES"/>
        </w:rPr>
        <w:t>su</w:t>
      </w:r>
      <w:r w:rsidR="000C4BCA" w:rsidRPr="0033605D">
        <w:rPr>
          <w:rFonts w:ascii="Verdana" w:hAnsi="Verdana"/>
          <w:sz w:val="20"/>
          <w:szCs w:val="20"/>
          <w:lang w:val="es-ES"/>
        </w:rPr>
        <w:t xml:space="preserve"> incompatibilidad con la vida extrauterina (párrafo 47). </w:t>
      </w:r>
    </w:p>
    <w:p w14:paraId="2B92C814" w14:textId="610A27A1" w:rsidR="00687678" w:rsidRPr="0033605D" w:rsidRDefault="00573458"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Ahora bien, en lo que refiere a la violencia obstétrica, la Corte fue poco precisa al aplicar </w:t>
      </w:r>
      <w:r w:rsidR="006D1210" w:rsidRPr="0033605D">
        <w:rPr>
          <w:rFonts w:ascii="Verdana" w:hAnsi="Verdana"/>
          <w:sz w:val="20"/>
          <w:szCs w:val="20"/>
          <w:lang w:val="es-ES"/>
        </w:rPr>
        <w:t xml:space="preserve">su precedente establecido en el caso </w:t>
      </w:r>
      <w:r w:rsidR="006D1210" w:rsidRPr="0033605D">
        <w:rPr>
          <w:rFonts w:ascii="Verdana" w:hAnsi="Verdana"/>
          <w:i/>
          <w:iCs/>
          <w:sz w:val="20"/>
          <w:szCs w:val="20"/>
          <w:lang w:val="es-ES"/>
        </w:rPr>
        <w:t>Brítez Arce</w:t>
      </w:r>
      <w:r w:rsidR="006D1210" w:rsidRPr="0033605D">
        <w:rPr>
          <w:rFonts w:ascii="Verdana" w:hAnsi="Verdana"/>
          <w:sz w:val="20"/>
          <w:szCs w:val="20"/>
          <w:lang w:val="es-ES"/>
        </w:rPr>
        <w:t xml:space="preserve"> y reiterado en los casos </w:t>
      </w:r>
      <w:r w:rsidR="006D1210" w:rsidRPr="0033605D">
        <w:rPr>
          <w:rFonts w:ascii="Verdana" w:hAnsi="Verdana"/>
          <w:i/>
          <w:iCs/>
          <w:sz w:val="20"/>
          <w:szCs w:val="20"/>
          <w:lang w:val="es-ES"/>
        </w:rPr>
        <w:t>María</w:t>
      </w:r>
      <w:r w:rsidR="006D1210" w:rsidRPr="0033605D">
        <w:rPr>
          <w:rFonts w:ascii="Verdana" w:hAnsi="Verdana"/>
          <w:sz w:val="20"/>
          <w:szCs w:val="20"/>
          <w:lang w:val="es-ES"/>
        </w:rPr>
        <w:t xml:space="preserve"> y </w:t>
      </w:r>
      <w:r w:rsidR="00D07BA9" w:rsidRPr="0033605D">
        <w:rPr>
          <w:rFonts w:ascii="Verdana" w:hAnsi="Verdana"/>
          <w:i/>
          <w:iCs/>
          <w:sz w:val="20"/>
          <w:szCs w:val="20"/>
          <w:lang w:val="es-ES"/>
        </w:rPr>
        <w:t>Rodríguez</w:t>
      </w:r>
      <w:r w:rsidR="00D07BA9" w:rsidRPr="0033605D">
        <w:rPr>
          <w:rFonts w:ascii="Verdana" w:hAnsi="Verdana"/>
          <w:sz w:val="20"/>
          <w:szCs w:val="20"/>
          <w:lang w:val="es-ES"/>
        </w:rPr>
        <w:t xml:space="preserve"> </w:t>
      </w:r>
      <w:r w:rsidR="00D70F31" w:rsidRPr="0033605D">
        <w:rPr>
          <w:rFonts w:ascii="Verdana" w:hAnsi="Verdana"/>
          <w:i/>
          <w:iCs/>
          <w:sz w:val="20"/>
          <w:szCs w:val="20"/>
          <w:lang w:val="es-ES"/>
        </w:rPr>
        <w:t>Pacheco</w:t>
      </w:r>
      <w:r w:rsidR="00D469F3" w:rsidRPr="0033605D">
        <w:rPr>
          <w:rFonts w:ascii="Verdana" w:hAnsi="Verdana"/>
          <w:i/>
          <w:iCs/>
          <w:sz w:val="20"/>
          <w:szCs w:val="20"/>
          <w:lang w:val="es-ES"/>
        </w:rPr>
        <w:t>,</w:t>
      </w:r>
      <w:r w:rsidR="00D34C9E" w:rsidRPr="0033605D">
        <w:rPr>
          <w:rFonts w:ascii="Verdana" w:hAnsi="Verdana"/>
          <w:i/>
          <w:iCs/>
          <w:sz w:val="20"/>
          <w:szCs w:val="20"/>
          <w:lang w:val="es-ES"/>
        </w:rPr>
        <w:t xml:space="preserve"> </w:t>
      </w:r>
      <w:r w:rsidR="00D34C9E" w:rsidRPr="0033605D">
        <w:rPr>
          <w:rFonts w:ascii="Verdana" w:hAnsi="Verdana"/>
          <w:sz w:val="20"/>
          <w:szCs w:val="20"/>
          <w:lang w:val="es-ES"/>
        </w:rPr>
        <w:t>con lo cual sentó un nefasto precedente para mujeres y médicos en la región</w:t>
      </w:r>
      <w:r w:rsidR="00D70F31" w:rsidRPr="0033605D">
        <w:rPr>
          <w:rFonts w:ascii="Verdana" w:hAnsi="Verdana"/>
          <w:sz w:val="20"/>
          <w:szCs w:val="20"/>
          <w:lang w:val="es-ES"/>
        </w:rPr>
        <w:t>. En la sentencia, la Corte afirmó que “</w:t>
      </w:r>
      <w:r w:rsidR="003A2110" w:rsidRPr="0033605D">
        <w:rPr>
          <w:rFonts w:ascii="Verdana" w:hAnsi="Verdana"/>
          <w:sz w:val="20"/>
          <w:szCs w:val="20"/>
          <w:lang w:val="es-ES"/>
        </w:rPr>
        <w:t xml:space="preserve">Beatriz </w:t>
      </w:r>
      <w:r w:rsidR="00DE57AA" w:rsidRPr="0033605D">
        <w:rPr>
          <w:rFonts w:ascii="Verdana" w:hAnsi="Verdana"/>
          <w:sz w:val="20"/>
          <w:szCs w:val="20"/>
          <w:lang w:val="es-ES"/>
        </w:rPr>
        <w:t>no fue atendida de forma adecuada para salvaguardar su salud, tomando en cuenta su enfermedad de base, los factores de riesgo que acumulaba y la inviabilidad de la vida extrauterina del feto por el diagnóstico de anencefalia. Estas circunstancias imponían un deber especial de protección que obligaban al Estado a brindarle una atención diligente y oportuna. Sin embargo, el contexto de inseguridad jurídica implicó someter a Beatriz a periodos de espera para poder tomar decisiones sobre su tratamiento y a subordinarlas a la obtención de autorizaciones administrativas o judiciales</w:t>
      </w:r>
      <w:r w:rsidR="00D70F31" w:rsidRPr="0033605D">
        <w:rPr>
          <w:rFonts w:ascii="Verdana" w:hAnsi="Verdana"/>
          <w:sz w:val="20"/>
          <w:szCs w:val="20"/>
          <w:lang w:val="es-ES"/>
        </w:rPr>
        <w:t>”</w:t>
      </w:r>
      <w:r w:rsidR="003A2110" w:rsidRPr="0033605D">
        <w:rPr>
          <w:rFonts w:ascii="Verdana" w:hAnsi="Verdana"/>
          <w:sz w:val="20"/>
          <w:szCs w:val="20"/>
          <w:lang w:val="es-ES"/>
        </w:rPr>
        <w:t xml:space="preserve"> (párrafo 1</w:t>
      </w:r>
      <w:r w:rsidR="009B094A">
        <w:rPr>
          <w:rFonts w:ascii="Verdana" w:hAnsi="Verdana"/>
          <w:sz w:val="20"/>
          <w:szCs w:val="20"/>
          <w:lang w:val="es-ES"/>
        </w:rPr>
        <w:t>49</w:t>
      </w:r>
      <w:r w:rsidR="003A2110" w:rsidRPr="0033605D">
        <w:rPr>
          <w:rFonts w:ascii="Verdana" w:hAnsi="Verdana"/>
          <w:sz w:val="20"/>
          <w:szCs w:val="20"/>
          <w:lang w:val="es-ES"/>
        </w:rPr>
        <w:t>)</w:t>
      </w:r>
      <w:r w:rsidR="00DE57AA" w:rsidRPr="0033605D">
        <w:rPr>
          <w:rFonts w:ascii="Verdana" w:hAnsi="Verdana"/>
          <w:sz w:val="20"/>
          <w:szCs w:val="20"/>
          <w:lang w:val="es-ES"/>
        </w:rPr>
        <w:t>.</w:t>
      </w:r>
      <w:r w:rsidR="00672F01" w:rsidRPr="0033605D">
        <w:rPr>
          <w:rFonts w:ascii="Verdana" w:hAnsi="Verdana"/>
          <w:sz w:val="20"/>
          <w:szCs w:val="20"/>
          <w:lang w:val="es-ES"/>
        </w:rPr>
        <w:t xml:space="preserve"> </w:t>
      </w:r>
      <w:r w:rsidR="00687678" w:rsidRPr="0033605D">
        <w:rPr>
          <w:rFonts w:ascii="Verdana" w:hAnsi="Verdana"/>
          <w:sz w:val="20"/>
          <w:szCs w:val="20"/>
          <w:lang w:val="es-ES"/>
        </w:rPr>
        <w:t xml:space="preserve">De manera que, aunque </w:t>
      </w:r>
      <w:r w:rsidR="00360EBB" w:rsidRPr="0033605D">
        <w:rPr>
          <w:rFonts w:ascii="Verdana" w:hAnsi="Verdana"/>
          <w:sz w:val="20"/>
          <w:szCs w:val="20"/>
          <w:lang w:val="es-ES"/>
        </w:rPr>
        <w:t xml:space="preserve">es claro que Beatriz sufrió </w:t>
      </w:r>
      <w:r w:rsidR="008B02F6" w:rsidRPr="0033605D">
        <w:rPr>
          <w:rFonts w:ascii="Verdana" w:hAnsi="Verdana"/>
          <w:sz w:val="20"/>
          <w:szCs w:val="20"/>
          <w:lang w:val="es-ES"/>
        </w:rPr>
        <w:t xml:space="preserve">un trato deshumanizado, irrespetuoso </w:t>
      </w:r>
      <w:r w:rsidR="005175D1" w:rsidRPr="0033605D">
        <w:rPr>
          <w:rFonts w:ascii="Verdana" w:hAnsi="Verdana"/>
          <w:sz w:val="20"/>
          <w:szCs w:val="20"/>
          <w:lang w:val="es-ES"/>
        </w:rPr>
        <w:t xml:space="preserve">y </w:t>
      </w:r>
      <w:r w:rsidR="008B02F6" w:rsidRPr="0033605D">
        <w:rPr>
          <w:rFonts w:ascii="Verdana" w:hAnsi="Verdana"/>
          <w:sz w:val="20"/>
          <w:szCs w:val="20"/>
          <w:lang w:val="es-ES"/>
        </w:rPr>
        <w:t xml:space="preserve">negligente </w:t>
      </w:r>
      <w:r w:rsidR="005175D1" w:rsidRPr="0033605D">
        <w:rPr>
          <w:rFonts w:ascii="Verdana" w:hAnsi="Verdana"/>
          <w:sz w:val="20"/>
          <w:szCs w:val="20"/>
          <w:lang w:val="es-ES"/>
        </w:rPr>
        <w:t xml:space="preserve">en su </w:t>
      </w:r>
      <w:r w:rsidR="00D7018E" w:rsidRPr="0033605D">
        <w:rPr>
          <w:rFonts w:ascii="Verdana" w:hAnsi="Verdana"/>
          <w:sz w:val="20"/>
          <w:szCs w:val="20"/>
          <w:lang w:val="es-ES"/>
        </w:rPr>
        <w:t xml:space="preserve">embarazo </w:t>
      </w:r>
      <w:r w:rsidR="005175D1" w:rsidRPr="0033605D">
        <w:rPr>
          <w:rFonts w:ascii="Verdana" w:hAnsi="Verdana"/>
          <w:sz w:val="20"/>
          <w:szCs w:val="20"/>
          <w:lang w:val="es-ES"/>
        </w:rPr>
        <w:t xml:space="preserve">y se le </w:t>
      </w:r>
      <w:r w:rsidR="008B02F6" w:rsidRPr="0033605D">
        <w:rPr>
          <w:rFonts w:ascii="Verdana" w:hAnsi="Verdana"/>
          <w:sz w:val="20"/>
          <w:szCs w:val="20"/>
          <w:lang w:val="es-ES"/>
        </w:rPr>
        <w:t>deneg</w:t>
      </w:r>
      <w:r w:rsidR="005175D1" w:rsidRPr="0033605D">
        <w:rPr>
          <w:rFonts w:ascii="Verdana" w:hAnsi="Verdana"/>
          <w:sz w:val="20"/>
          <w:szCs w:val="20"/>
          <w:lang w:val="es-ES"/>
        </w:rPr>
        <w:t xml:space="preserve">ó el </w:t>
      </w:r>
      <w:r w:rsidR="008B02F6" w:rsidRPr="0033605D">
        <w:rPr>
          <w:rFonts w:ascii="Verdana" w:hAnsi="Verdana"/>
          <w:sz w:val="20"/>
          <w:szCs w:val="20"/>
          <w:lang w:val="es-ES"/>
        </w:rPr>
        <w:t xml:space="preserve">tratamiento </w:t>
      </w:r>
      <w:r w:rsidR="005175D1" w:rsidRPr="0033605D">
        <w:rPr>
          <w:rFonts w:ascii="Verdana" w:hAnsi="Verdana"/>
          <w:sz w:val="20"/>
          <w:szCs w:val="20"/>
          <w:lang w:val="es-ES"/>
        </w:rPr>
        <w:t xml:space="preserve">requerido para proteger su vida y su integridad, </w:t>
      </w:r>
      <w:r w:rsidR="008D4677" w:rsidRPr="0033605D">
        <w:rPr>
          <w:rFonts w:ascii="Verdana" w:hAnsi="Verdana"/>
          <w:sz w:val="20"/>
          <w:szCs w:val="20"/>
          <w:lang w:val="es-ES"/>
        </w:rPr>
        <w:t>la Corte</w:t>
      </w:r>
      <w:r w:rsidR="00FF26ED" w:rsidRPr="0033605D">
        <w:rPr>
          <w:rFonts w:ascii="Verdana" w:hAnsi="Verdana"/>
          <w:sz w:val="20"/>
          <w:szCs w:val="20"/>
          <w:lang w:val="es-ES"/>
        </w:rPr>
        <w:t xml:space="preserve"> </w:t>
      </w:r>
      <w:r w:rsidR="00B13201" w:rsidRPr="0033605D">
        <w:rPr>
          <w:rFonts w:ascii="Verdana" w:hAnsi="Verdana"/>
          <w:sz w:val="20"/>
          <w:szCs w:val="20"/>
          <w:lang w:val="es-ES"/>
        </w:rPr>
        <w:t>no explicó con suficiencia</w:t>
      </w:r>
      <w:r w:rsidR="00FF26ED" w:rsidRPr="0033605D">
        <w:rPr>
          <w:rFonts w:ascii="Verdana" w:hAnsi="Verdana"/>
          <w:sz w:val="20"/>
          <w:szCs w:val="20"/>
          <w:lang w:val="es-ES"/>
        </w:rPr>
        <w:t xml:space="preserve"> la causa de dicho trato</w:t>
      </w:r>
      <w:r w:rsidR="00D34C9E" w:rsidRPr="0033605D">
        <w:rPr>
          <w:rFonts w:ascii="Verdana" w:hAnsi="Verdana"/>
          <w:sz w:val="20"/>
          <w:szCs w:val="20"/>
          <w:lang w:val="es-ES"/>
        </w:rPr>
        <w:t xml:space="preserve">. </w:t>
      </w:r>
    </w:p>
    <w:p w14:paraId="29B01070" w14:textId="5D9F3B78" w:rsidR="006B0F77" w:rsidRPr="0033605D" w:rsidRDefault="00874FE2"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D</w:t>
      </w:r>
      <w:r w:rsidR="00BB77FE" w:rsidRPr="0033605D">
        <w:rPr>
          <w:rFonts w:ascii="Verdana" w:hAnsi="Verdana"/>
          <w:sz w:val="20"/>
          <w:szCs w:val="20"/>
          <w:lang w:val="es-ES"/>
        </w:rPr>
        <w:t xml:space="preserve">esde el caso </w:t>
      </w:r>
      <w:r w:rsidR="00BB77FE" w:rsidRPr="0033605D">
        <w:rPr>
          <w:rFonts w:ascii="Verdana" w:hAnsi="Verdana"/>
          <w:i/>
          <w:iCs/>
          <w:sz w:val="20"/>
          <w:szCs w:val="20"/>
          <w:lang w:val="es-ES"/>
        </w:rPr>
        <w:t>Brítez Arce</w:t>
      </w:r>
      <w:r w:rsidR="00BB77FE" w:rsidRPr="0033605D">
        <w:rPr>
          <w:rFonts w:ascii="Verdana" w:hAnsi="Verdana"/>
          <w:sz w:val="20"/>
          <w:szCs w:val="20"/>
          <w:lang w:val="es-ES"/>
        </w:rPr>
        <w:t xml:space="preserve"> la Corte indicó que </w:t>
      </w:r>
      <w:r w:rsidR="006A363E" w:rsidRPr="0033605D">
        <w:rPr>
          <w:rFonts w:ascii="Verdana" w:hAnsi="Verdana"/>
          <w:sz w:val="20"/>
          <w:szCs w:val="20"/>
          <w:lang w:val="es-ES"/>
        </w:rPr>
        <w:t xml:space="preserve">la violencia obstétrica es una forma de violencia de género </w:t>
      </w:r>
      <w:r w:rsidR="00AB71FC" w:rsidRPr="0033605D">
        <w:rPr>
          <w:rFonts w:ascii="Verdana" w:hAnsi="Verdana"/>
          <w:sz w:val="20"/>
          <w:szCs w:val="20"/>
          <w:lang w:val="es-ES"/>
        </w:rPr>
        <w:t>“ejercida por los encargados de la atención en salud sobre las personas gestantes, durante el acceso a los servicios de salud que tienen lugar en el embarazo, parto y posparto”</w:t>
      </w:r>
      <w:r w:rsidR="00D10AB0" w:rsidRPr="0033605D">
        <w:rPr>
          <w:rStyle w:val="Refdenotaalpie"/>
          <w:rFonts w:ascii="Verdana" w:hAnsi="Verdana"/>
          <w:sz w:val="20"/>
          <w:szCs w:val="20"/>
          <w:lang w:val="es-ES"/>
        </w:rPr>
        <w:footnoteReference w:id="39"/>
      </w:r>
      <w:r w:rsidR="00AB71FC" w:rsidRPr="0033605D">
        <w:rPr>
          <w:rFonts w:ascii="Verdana" w:hAnsi="Verdana"/>
          <w:sz w:val="20"/>
          <w:szCs w:val="20"/>
          <w:lang w:val="es-ES"/>
        </w:rPr>
        <w:t xml:space="preserve">. </w:t>
      </w:r>
      <w:r w:rsidR="00280E2F" w:rsidRPr="0033605D">
        <w:rPr>
          <w:rFonts w:ascii="Verdana" w:hAnsi="Verdana"/>
          <w:sz w:val="20"/>
          <w:szCs w:val="20"/>
          <w:lang w:val="es-ES"/>
        </w:rPr>
        <w:t xml:space="preserve">En el caso Beatriz el Tribunal reiteró este estándar </w:t>
      </w:r>
      <w:r w:rsidR="00A10EBE" w:rsidRPr="0033605D">
        <w:rPr>
          <w:rFonts w:ascii="Verdana" w:hAnsi="Verdana"/>
          <w:sz w:val="20"/>
          <w:szCs w:val="20"/>
          <w:lang w:val="es-ES"/>
        </w:rPr>
        <w:t xml:space="preserve">(párrafo </w:t>
      </w:r>
      <w:r w:rsidRPr="0033605D">
        <w:rPr>
          <w:rFonts w:ascii="Verdana" w:hAnsi="Verdana"/>
          <w:sz w:val="20"/>
          <w:szCs w:val="20"/>
          <w:lang w:val="es-ES"/>
        </w:rPr>
        <w:t>1</w:t>
      </w:r>
      <w:r w:rsidR="009B094A">
        <w:rPr>
          <w:rFonts w:ascii="Verdana" w:hAnsi="Verdana"/>
          <w:sz w:val="20"/>
          <w:szCs w:val="20"/>
          <w:lang w:val="es-ES"/>
        </w:rPr>
        <w:t>48</w:t>
      </w:r>
      <w:r w:rsidR="00A10EBE" w:rsidRPr="0033605D">
        <w:rPr>
          <w:rFonts w:ascii="Verdana" w:hAnsi="Verdana"/>
          <w:sz w:val="20"/>
          <w:szCs w:val="20"/>
          <w:lang w:val="es-ES"/>
        </w:rPr>
        <w:t xml:space="preserve">) </w:t>
      </w:r>
      <w:r w:rsidR="00280E2F" w:rsidRPr="0033605D">
        <w:rPr>
          <w:rFonts w:ascii="Verdana" w:hAnsi="Verdana"/>
          <w:sz w:val="20"/>
          <w:szCs w:val="20"/>
          <w:lang w:val="es-ES"/>
        </w:rPr>
        <w:t xml:space="preserve">con lo cual parece concluirse que los causantes </w:t>
      </w:r>
      <w:r w:rsidR="00A107BC" w:rsidRPr="0033605D">
        <w:rPr>
          <w:rFonts w:ascii="Verdana" w:hAnsi="Verdana"/>
          <w:sz w:val="20"/>
          <w:szCs w:val="20"/>
          <w:lang w:val="es-ES"/>
        </w:rPr>
        <w:t xml:space="preserve">de la violencia obstétrica </w:t>
      </w:r>
      <w:r w:rsidR="00A107BC" w:rsidRPr="0033605D">
        <w:rPr>
          <w:rFonts w:ascii="Verdana" w:hAnsi="Verdana"/>
          <w:sz w:val="20"/>
          <w:szCs w:val="20"/>
          <w:lang w:val="es-ES"/>
        </w:rPr>
        <w:lastRenderedPageBreak/>
        <w:t>fueron sus médicos tratantes</w:t>
      </w:r>
      <w:r w:rsidR="00A10EBE" w:rsidRPr="0033605D">
        <w:rPr>
          <w:rFonts w:ascii="Verdana" w:hAnsi="Verdana"/>
          <w:sz w:val="20"/>
          <w:szCs w:val="20"/>
          <w:lang w:val="es-ES"/>
        </w:rPr>
        <w:t>. C</w:t>
      </w:r>
      <w:r w:rsidR="00A107BC" w:rsidRPr="0033605D">
        <w:rPr>
          <w:rFonts w:ascii="Verdana" w:hAnsi="Verdana"/>
          <w:sz w:val="20"/>
          <w:szCs w:val="20"/>
          <w:lang w:val="es-ES"/>
        </w:rPr>
        <w:t xml:space="preserve">reo que esto es un </w:t>
      </w:r>
      <w:r w:rsidR="00D34C9E" w:rsidRPr="0033605D">
        <w:rPr>
          <w:rFonts w:ascii="Verdana" w:hAnsi="Verdana"/>
          <w:sz w:val="20"/>
          <w:szCs w:val="20"/>
          <w:lang w:val="es-ES"/>
        </w:rPr>
        <w:t xml:space="preserve">gravísimo </w:t>
      </w:r>
      <w:r w:rsidR="00A107BC" w:rsidRPr="0033605D">
        <w:rPr>
          <w:rFonts w:ascii="Verdana" w:hAnsi="Verdana"/>
          <w:sz w:val="20"/>
          <w:szCs w:val="20"/>
          <w:lang w:val="es-ES"/>
        </w:rPr>
        <w:t>error</w:t>
      </w:r>
      <w:r w:rsidR="001F7BB7" w:rsidRPr="0033605D">
        <w:rPr>
          <w:rFonts w:ascii="Verdana" w:hAnsi="Verdana"/>
          <w:sz w:val="20"/>
          <w:szCs w:val="20"/>
          <w:lang w:val="es-ES"/>
        </w:rPr>
        <w:t>,</w:t>
      </w:r>
      <w:r w:rsidR="00A107BC" w:rsidRPr="0033605D">
        <w:rPr>
          <w:rFonts w:ascii="Verdana" w:hAnsi="Verdana"/>
          <w:sz w:val="20"/>
          <w:szCs w:val="20"/>
          <w:lang w:val="es-ES"/>
        </w:rPr>
        <w:t xml:space="preserve"> pues </w:t>
      </w:r>
      <w:r w:rsidR="00A10EBE" w:rsidRPr="0033605D">
        <w:rPr>
          <w:rFonts w:ascii="Verdana" w:hAnsi="Verdana"/>
          <w:sz w:val="20"/>
          <w:szCs w:val="20"/>
          <w:lang w:val="es-ES"/>
        </w:rPr>
        <w:t>la violencia en este caso deriv</w:t>
      </w:r>
      <w:r w:rsidR="001F7BB7" w:rsidRPr="0033605D">
        <w:rPr>
          <w:rFonts w:ascii="Verdana" w:hAnsi="Verdana"/>
          <w:sz w:val="20"/>
          <w:szCs w:val="20"/>
          <w:lang w:val="es-ES"/>
        </w:rPr>
        <w:t>ó</w:t>
      </w:r>
      <w:r w:rsidR="00A10EBE" w:rsidRPr="0033605D">
        <w:rPr>
          <w:rFonts w:ascii="Verdana" w:hAnsi="Verdana"/>
          <w:sz w:val="20"/>
          <w:szCs w:val="20"/>
          <w:lang w:val="es-ES"/>
        </w:rPr>
        <w:t xml:space="preserve"> de acciones y omisiones de otros agentes del Estado. </w:t>
      </w:r>
      <w:r w:rsidR="00925866" w:rsidRPr="0033605D">
        <w:rPr>
          <w:rFonts w:ascii="Verdana" w:hAnsi="Verdana"/>
          <w:sz w:val="20"/>
          <w:szCs w:val="20"/>
          <w:lang w:val="es-ES"/>
        </w:rPr>
        <w:t>E</w:t>
      </w:r>
      <w:r w:rsidR="00187FA6" w:rsidRPr="0033605D">
        <w:rPr>
          <w:rFonts w:ascii="Verdana" w:hAnsi="Verdana"/>
          <w:sz w:val="20"/>
          <w:szCs w:val="20"/>
          <w:lang w:val="es-ES"/>
        </w:rPr>
        <w:t xml:space="preserve">ste no </w:t>
      </w:r>
      <w:r w:rsidR="00CB5E28" w:rsidRPr="0033605D">
        <w:rPr>
          <w:rFonts w:ascii="Verdana" w:hAnsi="Verdana"/>
          <w:sz w:val="20"/>
          <w:szCs w:val="20"/>
          <w:lang w:val="es-ES"/>
        </w:rPr>
        <w:t xml:space="preserve">es solo un </w:t>
      </w:r>
      <w:r w:rsidR="00187FA6" w:rsidRPr="0033605D">
        <w:rPr>
          <w:rFonts w:ascii="Verdana" w:hAnsi="Verdana"/>
          <w:sz w:val="20"/>
          <w:szCs w:val="20"/>
          <w:lang w:val="es-ES"/>
        </w:rPr>
        <w:t>tecnicismo jurídico</w:t>
      </w:r>
      <w:r w:rsidR="00CB5E28" w:rsidRPr="0033605D">
        <w:rPr>
          <w:rFonts w:ascii="Verdana" w:hAnsi="Verdana"/>
          <w:sz w:val="20"/>
          <w:szCs w:val="20"/>
          <w:lang w:val="es-ES"/>
        </w:rPr>
        <w:t xml:space="preserve"> sin relevancia material</w:t>
      </w:r>
      <w:r w:rsidR="008C2B6B" w:rsidRPr="0033605D">
        <w:rPr>
          <w:rFonts w:ascii="Verdana" w:hAnsi="Verdana"/>
          <w:sz w:val="20"/>
          <w:szCs w:val="20"/>
          <w:lang w:val="es-ES"/>
        </w:rPr>
        <w:t>,</w:t>
      </w:r>
      <w:r w:rsidR="00CB5E28" w:rsidRPr="0033605D">
        <w:rPr>
          <w:rFonts w:ascii="Verdana" w:hAnsi="Verdana"/>
          <w:sz w:val="20"/>
          <w:szCs w:val="20"/>
          <w:lang w:val="es-ES"/>
        </w:rPr>
        <w:t xml:space="preserve"> sino que </w:t>
      </w:r>
      <w:r w:rsidR="008C2B6B" w:rsidRPr="0033605D">
        <w:rPr>
          <w:rFonts w:ascii="Verdana" w:hAnsi="Verdana"/>
          <w:sz w:val="20"/>
          <w:szCs w:val="20"/>
          <w:lang w:val="es-ES"/>
        </w:rPr>
        <w:t>puede tener</w:t>
      </w:r>
      <w:r w:rsidR="00CB5E28" w:rsidRPr="0033605D">
        <w:rPr>
          <w:rFonts w:ascii="Verdana" w:hAnsi="Verdana"/>
          <w:sz w:val="20"/>
          <w:szCs w:val="20"/>
          <w:lang w:val="es-ES"/>
        </w:rPr>
        <w:t xml:space="preserve"> </w:t>
      </w:r>
      <w:r w:rsidR="00D34C9E" w:rsidRPr="0033605D">
        <w:rPr>
          <w:rFonts w:ascii="Verdana" w:hAnsi="Verdana"/>
          <w:sz w:val="20"/>
          <w:szCs w:val="20"/>
          <w:lang w:val="es-ES"/>
        </w:rPr>
        <w:t xml:space="preserve">profundos </w:t>
      </w:r>
      <w:r w:rsidR="00F52D13" w:rsidRPr="0033605D">
        <w:rPr>
          <w:rFonts w:ascii="Verdana" w:hAnsi="Verdana"/>
          <w:sz w:val="20"/>
          <w:szCs w:val="20"/>
          <w:lang w:val="es-ES"/>
        </w:rPr>
        <w:t xml:space="preserve">efectos negativos sobre la práctica médica. </w:t>
      </w:r>
      <w:r w:rsidR="008C2B6B" w:rsidRPr="0033605D">
        <w:rPr>
          <w:rFonts w:ascii="Verdana" w:hAnsi="Verdana"/>
          <w:sz w:val="20"/>
          <w:szCs w:val="20"/>
          <w:lang w:val="es-ES"/>
        </w:rPr>
        <w:t>En este caso, los encargados de la atención en salud manifestaron en tres ocasiones que, según su criterio científico, el tratamiento procedente para proteger la vida e integridad de Beatri</w:t>
      </w:r>
      <w:r w:rsidR="008A29A8" w:rsidRPr="0033605D">
        <w:rPr>
          <w:rFonts w:ascii="Verdana" w:hAnsi="Verdana"/>
          <w:sz w:val="20"/>
          <w:szCs w:val="20"/>
          <w:lang w:val="es-ES"/>
        </w:rPr>
        <w:t xml:space="preserve">z era </w:t>
      </w:r>
      <w:r w:rsidR="00A72196" w:rsidRPr="0033605D">
        <w:rPr>
          <w:rFonts w:ascii="Verdana" w:hAnsi="Verdana"/>
          <w:sz w:val="20"/>
          <w:szCs w:val="20"/>
          <w:lang w:val="es-ES"/>
        </w:rPr>
        <w:t xml:space="preserve">la interrupción del embarazo. Además, considerando que </w:t>
      </w:r>
      <w:r w:rsidR="008E25D4" w:rsidRPr="0033605D">
        <w:rPr>
          <w:rFonts w:ascii="Verdana" w:hAnsi="Verdana"/>
          <w:sz w:val="20"/>
          <w:szCs w:val="20"/>
          <w:lang w:val="es-ES"/>
        </w:rPr>
        <w:t xml:space="preserve">la interrupción del embarazo se encuentra tipificada como delito en El Salvador, acudieron a las instancias administrativas y judiciales competentes para </w:t>
      </w:r>
      <w:r w:rsidR="001F7BB7" w:rsidRPr="0033605D">
        <w:rPr>
          <w:rFonts w:ascii="Verdana" w:hAnsi="Verdana"/>
          <w:sz w:val="20"/>
          <w:szCs w:val="20"/>
          <w:lang w:val="es-ES"/>
        </w:rPr>
        <w:t>solicitar la autorización d</w:t>
      </w:r>
      <w:r w:rsidR="008E25D4" w:rsidRPr="0033605D">
        <w:rPr>
          <w:rFonts w:ascii="Verdana" w:hAnsi="Verdana"/>
          <w:sz w:val="20"/>
          <w:szCs w:val="20"/>
          <w:lang w:val="es-ES"/>
        </w:rPr>
        <w:t>el tratamiento. Así,</w:t>
      </w:r>
      <w:r w:rsidR="00222134" w:rsidRPr="0033605D">
        <w:rPr>
          <w:rFonts w:ascii="Verdana" w:hAnsi="Verdana"/>
          <w:sz w:val="20"/>
          <w:szCs w:val="20"/>
          <w:lang w:val="es-ES"/>
        </w:rPr>
        <w:t xml:space="preserve"> considerar</w:t>
      </w:r>
      <w:r w:rsidR="007329CF" w:rsidRPr="0033605D">
        <w:rPr>
          <w:rFonts w:ascii="Verdana" w:hAnsi="Verdana"/>
          <w:sz w:val="20"/>
          <w:szCs w:val="20"/>
          <w:lang w:val="es-ES"/>
        </w:rPr>
        <w:t>,</w:t>
      </w:r>
      <w:r w:rsidR="00222134" w:rsidRPr="0033605D">
        <w:rPr>
          <w:rFonts w:ascii="Verdana" w:hAnsi="Verdana"/>
          <w:sz w:val="20"/>
          <w:szCs w:val="20"/>
          <w:lang w:val="es-ES"/>
        </w:rPr>
        <w:t xml:space="preserve"> </w:t>
      </w:r>
      <w:r w:rsidR="007329CF" w:rsidRPr="0033605D">
        <w:rPr>
          <w:rFonts w:ascii="Verdana" w:hAnsi="Verdana"/>
          <w:sz w:val="20"/>
          <w:szCs w:val="20"/>
          <w:lang w:val="es-ES"/>
        </w:rPr>
        <w:t xml:space="preserve">como parece desprenderse de la sentencia, que </w:t>
      </w:r>
      <w:r w:rsidR="00222134" w:rsidRPr="0033605D">
        <w:rPr>
          <w:rFonts w:ascii="Verdana" w:hAnsi="Verdana"/>
          <w:sz w:val="20"/>
          <w:szCs w:val="20"/>
          <w:lang w:val="es-ES"/>
        </w:rPr>
        <w:t xml:space="preserve">los </w:t>
      </w:r>
      <w:r w:rsidR="00D34C9E" w:rsidRPr="0033605D">
        <w:rPr>
          <w:rFonts w:ascii="Verdana" w:hAnsi="Verdana"/>
          <w:sz w:val="20"/>
          <w:szCs w:val="20"/>
          <w:lang w:val="es-ES"/>
        </w:rPr>
        <w:t>profesionales de la salud</w:t>
      </w:r>
      <w:r w:rsidR="00222134" w:rsidRPr="0033605D">
        <w:rPr>
          <w:rFonts w:ascii="Verdana" w:hAnsi="Verdana"/>
          <w:sz w:val="20"/>
          <w:szCs w:val="20"/>
          <w:lang w:val="es-ES"/>
        </w:rPr>
        <w:t xml:space="preserve"> </w:t>
      </w:r>
      <w:r w:rsidRPr="0033605D">
        <w:rPr>
          <w:rFonts w:ascii="Verdana" w:hAnsi="Verdana"/>
          <w:sz w:val="20"/>
          <w:szCs w:val="20"/>
          <w:lang w:val="es-ES"/>
        </w:rPr>
        <w:t>fueron negligentes</w:t>
      </w:r>
      <w:r w:rsidR="00666730" w:rsidRPr="0033605D">
        <w:rPr>
          <w:rFonts w:ascii="Verdana" w:hAnsi="Verdana"/>
          <w:sz w:val="20"/>
          <w:szCs w:val="20"/>
          <w:lang w:val="es-ES"/>
        </w:rPr>
        <w:t xml:space="preserve"> y dieron un trato deshumanizante a Beatriz</w:t>
      </w:r>
      <w:r w:rsidR="00EF158D" w:rsidRPr="0033605D">
        <w:rPr>
          <w:rFonts w:ascii="Verdana" w:hAnsi="Verdana"/>
          <w:sz w:val="20"/>
          <w:szCs w:val="20"/>
          <w:lang w:val="es-ES"/>
        </w:rPr>
        <w:t>,</w:t>
      </w:r>
      <w:r w:rsidR="00222134" w:rsidRPr="0033605D">
        <w:rPr>
          <w:rFonts w:ascii="Verdana" w:hAnsi="Verdana"/>
          <w:sz w:val="20"/>
          <w:szCs w:val="20"/>
          <w:lang w:val="es-ES"/>
        </w:rPr>
        <w:t xml:space="preserve"> es un señalamiento infundado</w:t>
      </w:r>
      <w:r w:rsidR="00114C40" w:rsidRPr="0033605D">
        <w:rPr>
          <w:rFonts w:ascii="Verdana" w:hAnsi="Verdana"/>
          <w:sz w:val="20"/>
          <w:szCs w:val="20"/>
          <w:lang w:val="es-ES"/>
        </w:rPr>
        <w:t xml:space="preserve"> y puede tener un efecto disuasor </w:t>
      </w:r>
      <w:r w:rsidR="00A211DD" w:rsidRPr="0033605D">
        <w:rPr>
          <w:rFonts w:ascii="Verdana" w:hAnsi="Verdana"/>
          <w:sz w:val="20"/>
          <w:szCs w:val="20"/>
          <w:lang w:val="es-ES"/>
        </w:rPr>
        <w:t>en los profesionales médicos en futuros casos</w:t>
      </w:r>
      <w:r w:rsidR="00013615" w:rsidRPr="0033605D">
        <w:rPr>
          <w:rFonts w:ascii="Verdana" w:hAnsi="Verdana"/>
          <w:sz w:val="20"/>
          <w:szCs w:val="20"/>
          <w:lang w:val="es-ES"/>
        </w:rPr>
        <w:t xml:space="preserve">. </w:t>
      </w:r>
      <w:r w:rsidR="00A211DD" w:rsidRPr="0033605D">
        <w:rPr>
          <w:rFonts w:ascii="Verdana" w:hAnsi="Verdana"/>
          <w:sz w:val="20"/>
          <w:szCs w:val="20"/>
          <w:lang w:val="es-ES"/>
        </w:rPr>
        <w:t xml:space="preserve">En mi criterio, la </w:t>
      </w:r>
      <w:r w:rsidR="006B0F77" w:rsidRPr="0033605D">
        <w:rPr>
          <w:rFonts w:ascii="Verdana" w:hAnsi="Verdana"/>
          <w:sz w:val="20"/>
          <w:szCs w:val="20"/>
          <w:lang w:val="es-ES"/>
        </w:rPr>
        <w:t xml:space="preserve">violencia obstétrica en este </w:t>
      </w:r>
      <w:r w:rsidR="005E6FC6" w:rsidRPr="0033605D">
        <w:rPr>
          <w:rFonts w:ascii="Verdana" w:hAnsi="Verdana"/>
          <w:sz w:val="20"/>
          <w:szCs w:val="20"/>
          <w:lang w:val="es-ES"/>
        </w:rPr>
        <w:t>caso</w:t>
      </w:r>
      <w:r w:rsidR="006B0F77" w:rsidRPr="0033605D">
        <w:rPr>
          <w:rFonts w:ascii="Verdana" w:hAnsi="Verdana"/>
          <w:sz w:val="20"/>
          <w:szCs w:val="20"/>
          <w:lang w:val="es-ES"/>
        </w:rPr>
        <w:t xml:space="preserve"> fue causada por la legislación </w:t>
      </w:r>
      <w:r w:rsidR="00EF158D" w:rsidRPr="0033605D">
        <w:rPr>
          <w:rFonts w:ascii="Verdana" w:hAnsi="Verdana"/>
          <w:sz w:val="20"/>
          <w:szCs w:val="20"/>
          <w:lang w:val="es-ES"/>
        </w:rPr>
        <w:t xml:space="preserve">y las actuaciones del poder judicial </w:t>
      </w:r>
      <w:r w:rsidR="006B0F77" w:rsidRPr="0033605D">
        <w:rPr>
          <w:rFonts w:ascii="Verdana" w:hAnsi="Verdana"/>
          <w:sz w:val="20"/>
          <w:szCs w:val="20"/>
          <w:lang w:val="es-ES"/>
        </w:rPr>
        <w:t>de El Salvador que</w:t>
      </w:r>
      <w:r w:rsidR="004F7D04" w:rsidRPr="0033605D">
        <w:rPr>
          <w:rFonts w:ascii="Verdana" w:hAnsi="Verdana"/>
          <w:sz w:val="20"/>
          <w:szCs w:val="20"/>
          <w:lang w:val="es-ES"/>
        </w:rPr>
        <w:t>,</w:t>
      </w:r>
      <w:r w:rsidR="006B0F77" w:rsidRPr="0033605D">
        <w:rPr>
          <w:rFonts w:ascii="Verdana" w:hAnsi="Verdana"/>
          <w:sz w:val="20"/>
          <w:szCs w:val="20"/>
          <w:lang w:val="es-ES"/>
        </w:rPr>
        <w:t xml:space="preserve"> al contemplar una prohibición absoluta de la interrupción voluntaria del embarazo</w:t>
      </w:r>
      <w:r w:rsidR="00EF158D" w:rsidRPr="0033605D">
        <w:rPr>
          <w:rFonts w:ascii="Verdana" w:hAnsi="Verdana"/>
          <w:sz w:val="20"/>
          <w:szCs w:val="20"/>
          <w:lang w:val="es-ES"/>
        </w:rPr>
        <w:t xml:space="preserve"> y no realizar control de convencionalidad</w:t>
      </w:r>
      <w:r w:rsidR="005D2835" w:rsidRPr="0033605D">
        <w:rPr>
          <w:rFonts w:ascii="Verdana" w:hAnsi="Verdana"/>
          <w:sz w:val="20"/>
          <w:szCs w:val="20"/>
          <w:lang w:val="es-ES"/>
        </w:rPr>
        <w:t xml:space="preserve"> al resolver la acción de amparo</w:t>
      </w:r>
      <w:r w:rsidR="006B0F77" w:rsidRPr="0033605D">
        <w:rPr>
          <w:rFonts w:ascii="Verdana" w:hAnsi="Verdana"/>
          <w:sz w:val="20"/>
          <w:szCs w:val="20"/>
          <w:lang w:val="es-ES"/>
        </w:rPr>
        <w:t xml:space="preserve">, </w:t>
      </w:r>
      <w:r w:rsidR="00840CBD" w:rsidRPr="0033605D">
        <w:rPr>
          <w:rFonts w:ascii="Verdana" w:hAnsi="Verdana"/>
          <w:sz w:val="20"/>
          <w:szCs w:val="20"/>
          <w:lang w:val="es-ES"/>
        </w:rPr>
        <w:t>impidieron</w:t>
      </w:r>
      <w:r w:rsidR="001F7BB7" w:rsidRPr="0033605D">
        <w:rPr>
          <w:rFonts w:ascii="Verdana" w:hAnsi="Verdana"/>
          <w:sz w:val="20"/>
          <w:szCs w:val="20"/>
          <w:lang w:val="es-ES"/>
        </w:rPr>
        <w:t xml:space="preserve"> </w:t>
      </w:r>
      <w:r w:rsidR="006B0F77" w:rsidRPr="0033605D">
        <w:rPr>
          <w:rFonts w:ascii="Verdana" w:hAnsi="Verdana"/>
          <w:sz w:val="20"/>
          <w:szCs w:val="20"/>
          <w:lang w:val="es-ES"/>
        </w:rPr>
        <w:t>a Beatriz toma</w:t>
      </w:r>
      <w:r w:rsidR="005D2835" w:rsidRPr="0033605D">
        <w:rPr>
          <w:rFonts w:ascii="Verdana" w:hAnsi="Verdana"/>
          <w:sz w:val="20"/>
          <w:szCs w:val="20"/>
          <w:lang w:val="es-ES"/>
        </w:rPr>
        <w:t xml:space="preserve">r </w:t>
      </w:r>
      <w:r w:rsidR="006B0F77" w:rsidRPr="0033605D">
        <w:rPr>
          <w:rFonts w:ascii="Verdana" w:hAnsi="Verdana"/>
          <w:sz w:val="20"/>
          <w:szCs w:val="20"/>
          <w:lang w:val="es-ES"/>
        </w:rPr>
        <w:t xml:space="preserve">libremente decisiones sobre su </w:t>
      </w:r>
      <w:r w:rsidR="004F7D04" w:rsidRPr="0033605D">
        <w:rPr>
          <w:rFonts w:ascii="Verdana" w:hAnsi="Verdana"/>
          <w:sz w:val="20"/>
          <w:szCs w:val="20"/>
          <w:lang w:val="es-ES"/>
        </w:rPr>
        <w:t xml:space="preserve">maternidad, </w:t>
      </w:r>
      <w:r w:rsidR="00D34C9E" w:rsidRPr="0033605D">
        <w:rPr>
          <w:rFonts w:ascii="Verdana" w:hAnsi="Verdana"/>
          <w:sz w:val="20"/>
          <w:szCs w:val="20"/>
          <w:lang w:val="es-ES"/>
        </w:rPr>
        <w:t xml:space="preserve">y </w:t>
      </w:r>
      <w:r w:rsidR="004F7D04" w:rsidRPr="0033605D">
        <w:rPr>
          <w:rFonts w:ascii="Verdana" w:hAnsi="Verdana"/>
          <w:sz w:val="20"/>
          <w:szCs w:val="20"/>
          <w:lang w:val="es-ES"/>
        </w:rPr>
        <w:t>a los médicos cumplir con su deber de proteger la vida e integridad de su paciente</w:t>
      </w:r>
      <w:r w:rsidR="00D34C9E" w:rsidRPr="0033605D">
        <w:rPr>
          <w:rFonts w:ascii="Verdana" w:hAnsi="Verdana"/>
          <w:sz w:val="20"/>
          <w:szCs w:val="20"/>
          <w:lang w:val="es-ES"/>
        </w:rPr>
        <w:t xml:space="preserve">. </w:t>
      </w:r>
    </w:p>
    <w:p w14:paraId="0BA51818" w14:textId="40B94302" w:rsidR="003A1B43" w:rsidRPr="0033605D" w:rsidRDefault="005E6FC6"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rPr>
      </w:pPr>
      <w:r w:rsidRPr="0033605D">
        <w:rPr>
          <w:rFonts w:ascii="Verdana" w:hAnsi="Verdana"/>
          <w:sz w:val="20"/>
          <w:szCs w:val="20"/>
          <w:lang w:val="es-ES"/>
        </w:rPr>
        <w:t xml:space="preserve">En efecto, </w:t>
      </w:r>
      <w:r w:rsidR="004D4CD3" w:rsidRPr="0033605D">
        <w:rPr>
          <w:rFonts w:ascii="Verdana" w:hAnsi="Verdana"/>
          <w:sz w:val="20"/>
          <w:szCs w:val="20"/>
          <w:lang w:val="es-ES"/>
        </w:rPr>
        <w:t>en el</w:t>
      </w:r>
      <w:r w:rsidR="004D4CD3" w:rsidRPr="0033605D">
        <w:rPr>
          <w:rFonts w:ascii="Verdana" w:hAnsi="Verdana"/>
          <w:sz w:val="20"/>
          <w:szCs w:val="20"/>
        </w:rPr>
        <w:t xml:space="preserve"> contexto de criminalización de</w:t>
      </w:r>
      <w:r w:rsidR="00D469F3" w:rsidRPr="0033605D">
        <w:rPr>
          <w:rFonts w:ascii="Verdana" w:hAnsi="Verdana"/>
          <w:sz w:val="20"/>
          <w:szCs w:val="20"/>
        </w:rPr>
        <w:t xml:space="preserve"> la</w:t>
      </w:r>
      <w:r w:rsidR="004D4CD3" w:rsidRPr="0033605D">
        <w:rPr>
          <w:rFonts w:ascii="Verdana" w:hAnsi="Verdana"/>
          <w:sz w:val="20"/>
          <w:szCs w:val="20"/>
        </w:rPr>
        <w:t xml:space="preserve"> </w:t>
      </w:r>
      <w:r w:rsidR="004D4CD3" w:rsidRPr="0033605D">
        <w:rPr>
          <w:rFonts w:ascii="Verdana" w:hAnsi="Verdana"/>
          <w:sz w:val="20"/>
          <w:szCs w:val="20"/>
          <w:lang w:val="es-ES"/>
        </w:rPr>
        <w:t>interrupción voluntaria del embarazo</w:t>
      </w:r>
      <w:r w:rsidR="000D0A6E" w:rsidRPr="0033605D">
        <w:rPr>
          <w:rFonts w:ascii="Verdana" w:hAnsi="Verdana"/>
          <w:sz w:val="20"/>
          <w:szCs w:val="20"/>
          <w:lang w:val="es-ES"/>
        </w:rPr>
        <w:t>,</w:t>
      </w:r>
      <w:r w:rsidR="004D4CD3" w:rsidRPr="0033605D">
        <w:rPr>
          <w:rFonts w:ascii="Verdana" w:hAnsi="Verdana"/>
          <w:sz w:val="20"/>
          <w:szCs w:val="20"/>
          <w:lang w:val="es-ES"/>
        </w:rPr>
        <w:t xml:space="preserve"> </w:t>
      </w:r>
      <w:r w:rsidR="004D4CD3" w:rsidRPr="0033605D">
        <w:rPr>
          <w:rFonts w:ascii="Verdana" w:hAnsi="Verdana"/>
          <w:sz w:val="20"/>
          <w:szCs w:val="20"/>
        </w:rPr>
        <w:t xml:space="preserve">que </w:t>
      </w:r>
      <w:r w:rsidR="000D0A6E" w:rsidRPr="0033605D">
        <w:rPr>
          <w:rFonts w:ascii="Verdana" w:hAnsi="Verdana"/>
          <w:sz w:val="20"/>
          <w:szCs w:val="20"/>
        </w:rPr>
        <w:t>impidió</w:t>
      </w:r>
      <w:r w:rsidR="004D4CD3" w:rsidRPr="0033605D">
        <w:rPr>
          <w:rFonts w:ascii="Verdana" w:hAnsi="Verdana"/>
          <w:sz w:val="20"/>
          <w:szCs w:val="20"/>
        </w:rPr>
        <w:t xml:space="preserve"> que el personal médico realizara el tratamiento recomendado, </w:t>
      </w:r>
      <w:r w:rsidR="000D0A6E" w:rsidRPr="0033605D">
        <w:rPr>
          <w:rFonts w:ascii="Verdana" w:hAnsi="Verdana"/>
          <w:sz w:val="20"/>
          <w:szCs w:val="20"/>
        </w:rPr>
        <w:t xml:space="preserve">el 11 de abril de 2013 </w:t>
      </w:r>
      <w:r w:rsidR="004D4CD3" w:rsidRPr="0033605D">
        <w:rPr>
          <w:rFonts w:ascii="Verdana" w:hAnsi="Verdana"/>
          <w:sz w:val="20"/>
          <w:szCs w:val="20"/>
        </w:rPr>
        <w:t xml:space="preserve">la representación legal de Beatriz </w:t>
      </w:r>
      <w:r w:rsidR="00B9099B" w:rsidRPr="0033605D">
        <w:rPr>
          <w:rFonts w:ascii="Verdana" w:hAnsi="Verdana"/>
          <w:sz w:val="20"/>
          <w:szCs w:val="20"/>
        </w:rPr>
        <w:t>presentó</w:t>
      </w:r>
      <w:r w:rsidR="004D4CD3" w:rsidRPr="0033605D">
        <w:rPr>
          <w:rFonts w:ascii="Verdana" w:hAnsi="Verdana"/>
          <w:sz w:val="20"/>
          <w:szCs w:val="20"/>
        </w:rPr>
        <w:t xml:space="preserve"> un recurso de amparo ante la Sala de lo Constitucional para que el Estado “mande una provisión inmediata a las autoridades del Hospital Dr. Raúl Aguello Escalón” para que intervengan inmediatamente a la paciente y salvar su vida en grave peligro”</w:t>
      </w:r>
      <w:r w:rsidR="004D4CD3" w:rsidRPr="0033605D">
        <w:rPr>
          <w:rFonts w:ascii="Verdana" w:hAnsi="Verdana"/>
          <w:sz w:val="20"/>
          <w:szCs w:val="20"/>
          <w:vertAlign w:val="superscript"/>
          <w:lang w:val="en-US"/>
        </w:rPr>
        <w:footnoteReference w:id="40"/>
      </w:r>
      <w:r w:rsidR="004D4CD3" w:rsidRPr="0033605D">
        <w:rPr>
          <w:rFonts w:ascii="Verdana" w:hAnsi="Verdana"/>
          <w:sz w:val="20"/>
          <w:szCs w:val="20"/>
        </w:rPr>
        <w:t>.</w:t>
      </w:r>
      <w:r w:rsidR="00C938D6" w:rsidRPr="0033605D">
        <w:rPr>
          <w:rFonts w:ascii="Verdana" w:hAnsi="Verdana"/>
          <w:sz w:val="20"/>
          <w:szCs w:val="20"/>
        </w:rPr>
        <w:t xml:space="preserve"> No obstante, Beatriz no recibió una respuesta que contemplara la necesidad de protección de sus derechos </w:t>
      </w:r>
      <w:r w:rsidR="004C31DD" w:rsidRPr="0033605D">
        <w:rPr>
          <w:rFonts w:ascii="Verdana" w:hAnsi="Verdana"/>
          <w:sz w:val="20"/>
          <w:szCs w:val="20"/>
        </w:rPr>
        <w:t>en los términos de la Convención Americana</w:t>
      </w:r>
      <w:r w:rsidR="00AA1E3E" w:rsidRPr="0033605D">
        <w:rPr>
          <w:rFonts w:ascii="Verdana" w:hAnsi="Verdana"/>
          <w:sz w:val="20"/>
          <w:szCs w:val="20"/>
        </w:rPr>
        <w:t>, sino que se privilegi</w:t>
      </w:r>
      <w:r w:rsidR="00A36A11" w:rsidRPr="0033605D">
        <w:rPr>
          <w:rFonts w:ascii="Verdana" w:hAnsi="Verdana"/>
          <w:sz w:val="20"/>
          <w:szCs w:val="20"/>
        </w:rPr>
        <w:t>ó</w:t>
      </w:r>
      <w:r w:rsidR="00AA1E3E" w:rsidRPr="0033605D">
        <w:rPr>
          <w:rFonts w:ascii="Verdana" w:hAnsi="Verdana"/>
          <w:sz w:val="20"/>
          <w:szCs w:val="20"/>
        </w:rPr>
        <w:t xml:space="preserve"> la vida del </w:t>
      </w:r>
      <w:r w:rsidR="0050433D" w:rsidRPr="0033605D">
        <w:rPr>
          <w:rFonts w:ascii="Verdana" w:hAnsi="Verdana"/>
          <w:sz w:val="20"/>
          <w:szCs w:val="20"/>
        </w:rPr>
        <w:t>feto, a pesar de ser inviable</w:t>
      </w:r>
      <w:r w:rsidR="00AA1E3E" w:rsidRPr="0033605D">
        <w:rPr>
          <w:rFonts w:ascii="Verdana" w:hAnsi="Verdana"/>
          <w:sz w:val="20"/>
          <w:szCs w:val="20"/>
        </w:rPr>
        <w:t>. En efecto</w:t>
      </w:r>
      <w:r w:rsidR="00A36A11" w:rsidRPr="0033605D">
        <w:rPr>
          <w:rFonts w:ascii="Verdana" w:hAnsi="Verdana"/>
          <w:sz w:val="20"/>
          <w:szCs w:val="20"/>
        </w:rPr>
        <w:t>,</w:t>
      </w:r>
      <w:r w:rsidR="00AA1E3E" w:rsidRPr="0033605D">
        <w:rPr>
          <w:rFonts w:ascii="Verdana" w:hAnsi="Verdana"/>
          <w:sz w:val="20"/>
          <w:szCs w:val="20"/>
        </w:rPr>
        <w:t xml:space="preserve"> </w:t>
      </w:r>
      <w:r w:rsidR="00A36A11" w:rsidRPr="0033605D">
        <w:rPr>
          <w:rFonts w:ascii="Verdana" w:hAnsi="Verdana"/>
          <w:sz w:val="20"/>
          <w:szCs w:val="20"/>
        </w:rPr>
        <w:t xml:space="preserve">la Sala de lo Constitucional </w:t>
      </w:r>
      <w:r w:rsidR="00AA1E3E" w:rsidRPr="0033605D">
        <w:rPr>
          <w:rFonts w:ascii="Verdana" w:hAnsi="Verdana"/>
          <w:sz w:val="20"/>
          <w:szCs w:val="20"/>
        </w:rPr>
        <w:t xml:space="preserve">sostuvo “que existe un impedimento absoluto para autorizar la práctica de un aborto por contrariar la protección constitucional que se otorga a la persona humana </w:t>
      </w:r>
      <w:r w:rsidR="00D34C9E" w:rsidRPr="0033605D">
        <w:rPr>
          <w:rFonts w:ascii="Verdana" w:hAnsi="Verdana"/>
          <w:sz w:val="20"/>
          <w:szCs w:val="20"/>
        </w:rPr>
        <w:t>“</w:t>
      </w:r>
      <w:r w:rsidR="00AA1E3E" w:rsidRPr="0033605D">
        <w:rPr>
          <w:rFonts w:ascii="Verdana" w:hAnsi="Verdana"/>
          <w:sz w:val="20"/>
          <w:szCs w:val="20"/>
        </w:rPr>
        <w:t>desde el momento de la concepción</w:t>
      </w:r>
      <w:r w:rsidR="00D34C9E" w:rsidRPr="0033605D">
        <w:rPr>
          <w:rFonts w:ascii="Verdana" w:hAnsi="Verdana"/>
          <w:sz w:val="20"/>
          <w:szCs w:val="20"/>
        </w:rPr>
        <w:t>”</w:t>
      </w:r>
      <w:r w:rsidR="00AA1E3E" w:rsidRPr="0033605D">
        <w:rPr>
          <w:rFonts w:ascii="Verdana" w:hAnsi="Verdana"/>
          <w:sz w:val="20"/>
          <w:szCs w:val="20"/>
        </w:rPr>
        <w:t xml:space="preserve">, art. 1 2 Cn. Bajo tales imperativos las circunstancias que habilitan la intervención médica y el momento oportuno para </w:t>
      </w:r>
      <w:proofErr w:type="gramStart"/>
      <w:r w:rsidR="00AA1E3E" w:rsidRPr="0033605D">
        <w:rPr>
          <w:rFonts w:ascii="Verdana" w:hAnsi="Verdana"/>
          <w:sz w:val="20"/>
          <w:szCs w:val="20"/>
        </w:rPr>
        <w:t>ello,</w:t>
      </w:r>
      <w:proofErr w:type="gramEnd"/>
      <w:r w:rsidR="00AA1E3E" w:rsidRPr="0033605D">
        <w:rPr>
          <w:rFonts w:ascii="Verdana" w:hAnsi="Verdana"/>
          <w:sz w:val="20"/>
          <w:szCs w:val="20"/>
        </w:rPr>
        <w:t xml:space="preserve"> son decisiones que corresponden estrictamente a los profesionales de la medicina, quienes, por otro lado, deben asumir los riesgos que conlleva el ejercicio de la profesión”</w:t>
      </w:r>
      <w:r w:rsidR="00AA1E3E" w:rsidRPr="0033605D">
        <w:rPr>
          <w:rStyle w:val="Refdenotaalpie"/>
          <w:rFonts w:ascii="Verdana" w:hAnsi="Verdana"/>
          <w:sz w:val="20"/>
          <w:szCs w:val="20"/>
          <w:lang w:eastAsia="es-MX"/>
        </w:rPr>
        <w:footnoteReference w:id="41"/>
      </w:r>
      <w:r w:rsidR="00AA1E3E" w:rsidRPr="0033605D">
        <w:rPr>
          <w:rFonts w:ascii="Verdana" w:hAnsi="Verdana"/>
          <w:sz w:val="20"/>
          <w:szCs w:val="20"/>
        </w:rPr>
        <w:t>.</w:t>
      </w:r>
      <w:r w:rsidR="00F14485" w:rsidRPr="0033605D">
        <w:rPr>
          <w:rFonts w:ascii="Verdana" w:hAnsi="Verdana"/>
          <w:sz w:val="20"/>
          <w:szCs w:val="20"/>
        </w:rPr>
        <w:t xml:space="preserve"> De manera que, para declarar la ocurrencia de violencia obstétrica en el caso, la Corte debió evaluar la actuación de </w:t>
      </w:r>
      <w:r w:rsidR="00843C1D" w:rsidRPr="0033605D">
        <w:rPr>
          <w:rFonts w:ascii="Verdana" w:hAnsi="Verdana"/>
          <w:sz w:val="20"/>
          <w:szCs w:val="20"/>
        </w:rPr>
        <w:t>la</w:t>
      </w:r>
      <w:r w:rsidR="00F14485" w:rsidRPr="0033605D">
        <w:rPr>
          <w:rFonts w:ascii="Verdana" w:hAnsi="Verdana"/>
          <w:sz w:val="20"/>
          <w:szCs w:val="20"/>
        </w:rPr>
        <w:t xml:space="preserve"> </w:t>
      </w:r>
      <w:r w:rsidR="00843C1D" w:rsidRPr="0033605D">
        <w:rPr>
          <w:rFonts w:ascii="Verdana" w:hAnsi="Verdana"/>
          <w:sz w:val="20"/>
          <w:szCs w:val="20"/>
        </w:rPr>
        <w:t xml:space="preserve">Sala de lo Constitucional </w:t>
      </w:r>
      <w:r w:rsidR="00F14485" w:rsidRPr="0033605D">
        <w:rPr>
          <w:rFonts w:ascii="Verdana" w:hAnsi="Verdana"/>
          <w:sz w:val="20"/>
          <w:szCs w:val="20"/>
        </w:rPr>
        <w:t>que</w:t>
      </w:r>
      <w:r w:rsidR="00843C1D" w:rsidRPr="0033605D">
        <w:rPr>
          <w:rFonts w:ascii="Verdana" w:hAnsi="Verdana"/>
          <w:sz w:val="20"/>
          <w:szCs w:val="20"/>
        </w:rPr>
        <w:t xml:space="preserve"> en este caso fue la que</w:t>
      </w:r>
      <w:r w:rsidR="00F14485" w:rsidRPr="0033605D">
        <w:rPr>
          <w:rFonts w:ascii="Verdana" w:hAnsi="Verdana"/>
          <w:sz w:val="20"/>
          <w:szCs w:val="20"/>
        </w:rPr>
        <w:t xml:space="preserve"> </w:t>
      </w:r>
      <w:r w:rsidR="00B71C5E" w:rsidRPr="0033605D">
        <w:rPr>
          <w:rFonts w:ascii="Verdana" w:hAnsi="Verdana"/>
          <w:sz w:val="20"/>
          <w:szCs w:val="20"/>
        </w:rPr>
        <w:t>caus</w:t>
      </w:r>
      <w:r w:rsidR="00843C1D" w:rsidRPr="0033605D">
        <w:rPr>
          <w:rFonts w:ascii="Verdana" w:hAnsi="Verdana"/>
          <w:sz w:val="20"/>
          <w:szCs w:val="20"/>
        </w:rPr>
        <w:t xml:space="preserve">ó </w:t>
      </w:r>
      <w:r w:rsidR="0050433D" w:rsidRPr="0033605D">
        <w:rPr>
          <w:rFonts w:ascii="Verdana" w:hAnsi="Verdana"/>
          <w:sz w:val="20"/>
          <w:szCs w:val="20"/>
          <w:lang w:val="es-ES"/>
        </w:rPr>
        <w:t>el</w:t>
      </w:r>
      <w:r w:rsidR="00B71C5E" w:rsidRPr="0033605D">
        <w:rPr>
          <w:rFonts w:ascii="Verdana" w:hAnsi="Verdana"/>
          <w:sz w:val="20"/>
          <w:szCs w:val="20"/>
          <w:lang w:val="es-ES"/>
        </w:rPr>
        <w:t xml:space="preserve"> trato deshumanizado, irrespetuoso y negligente </w:t>
      </w:r>
      <w:r w:rsidR="0050433D" w:rsidRPr="0033605D">
        <w:rPr>
          <w:rFonts w:ascii="Verdana" w:hAnsi="Verdana"/>
          <w:sz w:val="20"/>
          <w:szCs w:val="20"/>
          <w:lang w:val="es-ES"/>
        </w:rPr>
        <w:t>a</w:t>
      </w:r>
      <w:r w:rsidR="00B71C5E" w:rsidRPr="0033605D">
        <w:rPr>
          <w:rFonts w:ascii="Verdana" w:hAnsi="Verdana"/>
          <w:sz w:val="20"/>
          <w:szCs w:val="20"/>
          <w:lang w:val="es-ES"/>
        </w:rPr>
        <w:t xml:space="preserve"> Beatriz en su embarazo y le deneg</w:t>
      </w:r>
      <w:r w:rsidR="00843C1D" w:rsidRPr="0033605D">
        <w:rPr>
          <w:rFonts w:ascii="Verdana" w:hAnsi="Verdana"/>
          <w:sz w:val="20"/>
          <w:szCs w:val="20"/>
          <w:lang w:val="es-ES"/>
        </w:rPr>
        <w:t>ó</w:t>
      </w:r>
      <w:r w:rsidR="00B71C5E" w:rsidRPr="0033605D">
        <w:rPr>
          <w:rFonts w:ascii="Verdana" w:hAnsi="Verdana"/>
          <w:sz w:val="20"/>
          <w:szCs w:val="20"/>
          <w:lang w:val="es-ES"/>
        </w:rPr>
        <w:t xml:space="preserve"> el tratamiento requerido para proteger su vida y su integridad</w:t>
      </w:r>
      <w:r w:rsidR="00843C1D" w:rsidRPr="0033605D">
        <w:rPr>
          <w:rFonts w:ascii="Verdana" w:hAnsi="Verdana"/>
          <w:sz w:val="20"/>
          <w:szCs w:val="20"/>
          <w:lang w:val="es-ES"/>
        </w:rPr>
        <w:t xml:space="preserve">. </w:t>
      </w:r>
    </w:p>
    <w:p w14:paraId="2443AA16" w14:textId="61F47826" w:rsidR="00524EED" w:rsidRPr="0033605D" w:rsidRDefault="00A36A11"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Además de lo anterior, </w:t>
      </w:r>
      <w:r w:rsidR="005D2835" w:rsidRPr="0033605D">
        <w:rPr>
          <w:rFonts w:ascii="Verdana" w:hAnsi="Verdana"/>
          <w:sz w:val="20"/>
          <w:szCs w:val="20"/>
          <w:lang w:val="es-ES"/>
        </w:rPr>
        <w:t>debo alertar que</w:t>
      </w:r>
      <w:r w:rsidR="00E7342D" w:rsidRPr="0033605D">
        <w:rPr>
          <w:rFonts w:ascii="Verdana" w:hAnsi="Verdana"/>
          <w:sz w:val="20"/>
          <w:szCs w:val="20"/>
          <w:lang w:val="es-ES"/>
        </w:rPr>
        <w:t>, aunque no fue reconocido por la Corte,</w:t>
      </w:r>
      <w:r w:rsidR="005D2835" w:rsidRPr="0033605D">
        <w:rPr>
          <w:rFonts w:ascii="Verdana" w:hAnsi="Verdana"/>
          <w:sz w:val="20"/>
          <w:szCs w:val="20"/>
          <w:lang w:val="es-ES"/>
        </w:rPr>
        <w:t xml:space="preserve"> </w:t>
      </w:r>
      <w:r w:rsidR="005F054E" w:rsidRPr="0033605D">
        <w:rPr>
          <w:rFonts w:ascii="Verdana" w:hAnsi="Verdana"/>
          <w:sz w:val="20"/>
          <w:szCs w:val="20"/>
          <w:lang w:val="es-ES"/>
        </w:rPr>
        <w:t xml:space="preserve">el Estado </w:t>
      </w:r>
      <w:r w:rsidR="00E7342D" w:rsidRPr="0033605D">
        <w:rPr>
          <w:rFonts w:ascii="Verdana" w:hAnsi="Verdana"/>
          <w:sz w:val="20"/>
          <w:szCs w:val="20"/>
          <w:lang w:val="es-ES"/>
        </w:rPr>
        <w:t xml:space="preserve">también </w:t>
      </w:r>
      <w:r w:rsidR="005F054E" w:rsidRPr="0033605D">
        <w:rPr>
          <w:rFonts w:ascii="Verdana" w:hAnsi="Verdana"/>
          <w:sz w:val="20"/>
          <w:szCs w:val="20"/>
          <w:lang w:val="es-ES"/>
        </w:rPr>
        <w:t>violó</w:t>
      </w:r>
      <w:r w:rsidR="00E7342D" w:rsidRPr="0033605D">
        <w:rPr>
          <w:rFonts w:ascii="Verdana" w:hAnsi="Verdana"/>
          <w:sz w:val="20"/>
          <w:szCs w:val="20"/>
          <w:lang w:val="es-ES"/>
        </w:rPr>
        <w:t xml:space="preserve"> el derecho a la vida de Beatriz. </w:t>
      </w:r>
      <w:r w:rsidR="00CD10AA" w:rsidRPr="0033605D">
        <w:rPr>
          <w:rFonts w:ascii="Verdana" w:hAnsi="Verdana"/>
          <w:sz w:val="20"/>
          <w:szCs w:val="20"/>
          <w:lang w:val="es-ES"/>
        </w:rPr>
        <w:t xml:space="preserve">De una parte, se encontraba suficientemente demostrado que la vida de Beatriz </w:t>
      </w:r>
      <w:r w:rsidR="00103C48" w:rsidRPr="0033605D">
        <w:rPr>
          <w:rFonts w:ascii="Verdana" w:hAnsi="Verdana"/>
          <w:sz w:val="20"/>
          <w:szCs w:val="20"/>
          <w:lang w:val="es-ES"/>
        </w:rPr>
        <w:t>estaba en riesgo</w:t>
      </w:r>
      <w:r w:rsidR="003567FB" w:rsidRPr="0033605D">
        <w:rPr>
          <w:rFonts w:ascii="Verdana" w:hAnsi="Verdana"/>
          <w:sz w:val="20"/>
          <w:szCs w:val="20"/>
          <w:lang w:val="es-ES"/>
        </w:rPr>
        <w:t xml:space="preserve"> por causa del embarazo</w:t>
      </w:r>
      <w:r w:rsidR="00656163" w:rsidRPr="0033605D">
        <w:rPr>
          <w:rFonts w:ascii="Verdana" w:hAnsi="Verdana"/>
          <w:sz w:val="20"/>
          <w:szCs w:val="20"/>
          <w:lang w:val="es-ES"/>
        </w:rPr>
        <w:t xml:space="preserve"> y como consecuencia, la falta de atención médica constituyó un </w:t>
      </w:r>
      <w:r w:rsidR="002F0341" w:rsidRPr="0033605D">
        <w:rPr>
          <w:rFonts w:ascii="Verdana" w:hAnsi="Verdana"/>
          <w:sz w:val="20"/>
          <w:szCs w:val="20"/>
          <w:lang w:val="es-ES"/>
        </w:rPr>
        <w:t>peligro</w:t>
      </w:r>
      <w:r w:rsidR="00656163" w:rsidRPr="0033605D">
        <w:rPr>
          <w:rFonts w:ascii="Verdana" w:hAnsi="Verdana"/>
          <w:sz w:val="20"/>
          <w:szCs w:val="20"/>
          <w:lang w:val="es-ES"/>
        </w:rPr>
        <w:t xml:space="preserve"> para </w:t>
      </w:r>
      <w:r w:rsidR="00656163" w:rsidRPr="0033605D">
        <w:rPr>
          <w:rFonts w:ascii="Verdana" w:hAnsi="Verdana"/>
          <w:sz w:val="20"/>
          <w:szCs w:val="20"/>
          <w:lang w:val="es-ES"/>
        </w:rPr>
        <w:lastRenderedPageBreak/>
        <w:t>su vida</w:t>
      </w:r>
      <w:r w:rsidR="00F32906" w:rsidRPr="0033605D">
        <w:rPr>
          <w:rFonts w:ascii="Verdana" w:hAnsi="Verdana"/>
          <w:sz w:val="20"/>
          <w:szCs w:val="20"/>
          <w:lang w:val="es-ES"/>
        </w:rPr>
        <w:t xml:space="preserve"> atribuible al Estado</w:t>
      </w:r>
      <w:r w:rsidR="00103C48" w:rsidRPr="0033605D">
        <w:rPr>
          <w:rFonts w:ascii="Verdana" w:hAnsi="Verdana"/>
          <w:sz w:val="20"/>
          <w:szCs w:val="20"/>
          <w:lang w:val="es-ES"/>
        </w:rPr>
        <w:t>.</w:t>
      </w:r>
      <w:r w:rsidR="00867BC2" w:rsidRPr="0033605D">
        <w:rPr>
          <w:rFonts w:ascii="Verdana" w:hAnsi="Verdana"/>
          <w:sz w:val="20"/>
          <w:szCs w:val="20"/>
          <w:lang w:val="es-ES"/>
        </w:rPr>
        <w:t xml:space="preserve"> </w:t>
      </w:r>
      <w:r w:rsidR="00ED7DCD" w:rsidRPr="0033605D">
        <w:rPr>
          <w:rFonts w:ascii="Verdana" w:hAnsi="Verdana"/>
          <w:sz w:val="20"/>
          <w:szCs w:val="20"/>
          <w:lang w:val="es-ES"/>
        </w:rPr>
        <w:t xml:space="preserve">En efecto, </w:t>
      </w:r>
      <w:r w:rsidR="00FB2954" w:rsidRPr="0033605D">
        <w:rPr>
          <w:rFonts w:ascii="Verdana" w:hAnsi="Verdana"/>
          <w:sz w:val="20"/>
          <w:szCs w:val="20"/>
          <w:lang w:val="es-ES"/>
        </w:rPr>
        <w:t xml:space="preserve">como se señaló en la sentencia, en </w:t>
      </w:r>
      <w:r w:rsidR="00ED7DCD" w:rsidRPr="0033605D">
        <w:rPr>
          <w:rFonts w:ascii="Verdana" w:hAnsi="Verdana"/>
          <w:sz w:val="20"/>
          <w:szCs w:val="20"/>
          <w:lang w:val="es-ES"/>
        </w:rPr>
        <w:t xml:space="preserve">el informe </w:t>
      </w:r>
      <w:r w:rsidR="002816AF" w:rsidRPr="0033605D">
        <w:rPr>
          <w:rFonts w:ascii="Verdana" w:hAnsi="Verdana"/>
          <w:sz w:val="20"/>
          <w:szCs w:val="20"/>
          <w:lang w:val="es-ES"/>
        </w:rPr>
        <w:t>m</w:t>
      </w:r>
      <w:r w:rsidR="006F7A07" w:rsidRPr="0033605D">
        <w:rPr>
          <w:rFonts w:ascii="Verdana" w:hAnsi="Verdana"/>
          <w:sz w:val="20"/>
          <w:szCs w:val="20"/>
          <w:lang w:val="es-ES"/>
        </w:rPr>
        <w:t>édico</w:t>
      </w:r>
      <w:r w:rsidR="00EE001B" w:rsidRPr="0033605D">
        <w:rPr>
          <w:rFonts w:ascii="Verdana" w:hAnsi="Verdana"/>
          <w:sz w:val="20"/>
          <w:szCs w:val="20"/>
          <w:lang w:val="es-ES"/>
        </w:rPr>
        <w:t xml:space="preserve"> de 22 de marzo de 2013 </w:t>
      </w:r>
      <w:r w:rsidR="002816AF" w:rsidRPr="0033605D">
        <w:rPr>
          <w:rFonts w:ascii="Verdana" w:hAnsi="Verdana"/>
          <w:sz w:val="20"/>
          <w:szCs w:val="20"/>
          <w:lang w:val="es-ES"/>
        </w:rPr>
        <w:t>se indicó</w:t>
      </w:r>
      <w:r w:rsidR="00FB2954" w:rsidRPr="0033605D">
        <w:rPr>
          <w:rFonts w:ascii="Verdana" w:hAnsi="Verdana"/>
          <w:sz w:val="20"/>
          <w:szCs w:val="20"/>
          <w:lang w:val="es-ES"/>
        </w:rPr>
        <w:t xml:space="preserve"> que</w:t>
      </w:r>
      <w:r w:rsidR="002816AF" w:rsidRPr="0033605D">
        <w:rPr>
          <w:rFonts w:ascii="Verdana" w:hAnsi="Verdana"/>
          <w:sz w:val="20"/>
          <w:szCs w:val="20"/>
          <w:lang w:val="es-ES"/>
        </w:rPr>
        <w:t xml:space="preserve"> </w:t>
      </w:r>
      <w:r w:rsidR="005D083A" w:rsidRPr="0033605D">
        <w:rPr>
          <w:rFonts w:ascii="Verdana" w:hAnsi="Verdana"/>
          <w:sz w:val="20"/>
          <w:szCs w:val="20"/>
          <w:lang w:val="es-ES"/>
        </w:rPr>
        <w:t>“</w:t>
      </w:r>
      <w:r w:rsidR="002816AF" w:rsidRPr="0033605D">
        <w:rPr>
          <w:rFonts w:ascii="Verdana" w:hAnsi="Verdana"/>
          <w:sz w:val="20"/>
          <w:szCs w:val="20"/>
          <w:lang w:val="es-ES"/>
        </w:rPr>
        <w:t>[e]</w:t>
      </w:r>
      <w:r w:rsidR="005D083A" w:rsidRPr="0033605D">
        <w:rPr>
          <w:rFonts w:ascii="Verdana" w:hAnsi="Verdana"/>
          <w:sz w:val="20"/>
          <w:szCs w:val="20"/>
          <w:lang w:val="es-ES"/>
        </w:rPr>
        <w:t>n vista de la enfermedad grave materna con alta probabilidad de muerte materna</w:t>
      </w:r>
      <w:r w:rsidR="008E41E5" w:rsidRPr="0033605D">
        <w:rPr>
          <w:rFonts w:ascii="Verdana" w:hAnsi="Verdana"/>
          <w:sz w:val="20"/>
          <w:szCs w:val="20"/>
          <w:lang w:val="es-ES"/>
        </w:rPr>
        <w:t xml:space="preserve"> […] el servicio de perinatología a través de su jefatura solicita opinión del comité médico legal de este Hospital para abordar el problema médico legal del caso y buscar una ayuda resolutiva para salvaguardar la vida de la madre</w:t>
      </w:r>
      <w:r w:rsidR="005D083A" w:rsidRPr="0033605D">
        <w:rPr>
          <w:rFonts w:ascii="Verdana" w:hAnsi="Verdana"/>
          <w:sz w:val="20"/>
          <w:szCs w:val="20"/>
          <w:lang w:val="es-ES"/>
        </w:rPr>
        <w:t>”</w:t>
      </w:r>
      <w:r w:rsidR="008E41E5" w:rsidRPr="0033605D">
        <w:rPr>
          <w:rFonts w:ascii="Verdana" w:hAnsi="Verdana"/>
          <w:sz w:val="20"/>
          <w:szCs w:val="20"/>
          <w:lang w:val="es-ES"/>
        </w:rPr>
        <w:t xml:space="preserve"> (párrafo </w:t>
      </w:r>
      <w:r w:rsidR="002816AF" w:rsidRPr="0033605D">
        <w:rPr>
          <w:rFonts w:ascii="Verdana" w:hAnsi="Verdana"/>
          <w:sz w:val="20"/>
          <w:szCs w:val="20"/>
          <w:lang w:val="es-ES"/>
        </w:rPr>
        <w:t>48</w:t>
      </w:r>
      <w:r w:rsidR="008E41E5" w:rsidRPr="0033605D">
        <w:rPr>
          <w:rFonts w:ascii="Verdana" w:hAnsi="Verdana"/>
          <w:sz w:val="20"/>
          <w:szCs w:val="20"/>
          <w:lang w:val="es-ES"/>
        </w:rPr>
        <w:t>)</w:t>
      </w:r>
      <w:r w:rsidR="00FB2954" w:rsidRPr="0033605D">
        <w:rPr>
          <w:rFonts w:ascii="Verdana" w:hAnsi="Verdana"/>
          <w:sz w:val="20"/>
          <w:szCs w:val="20"/>
          <w:lang w:val="es-ES"/>
        </w:rPr>
        <w:t xml:space="preserve">. </w:t>
      </w:r>
      <w:r w:rsidR="001170BB" w:rsidRPr="0033605D">
        <w:rPr>
          <w:rFonts w:ascii="Verdana" w:hAnsi="Verdana"/>
          <w:sz w:val="20"/>
          <w:szCs w:val="20"/>
          <w:lang w:val="es-ES"/>
        </w:rPr>
        <w:t>Además,</w:t>
      </w:r>
      <w:r w:rsidR="0002180D" w:rsidRPr="0033605D">
        <w:rPr>
          <w:rFonts w:ascii="Verdana" w:hAnsi="Verdana"/>
          <w:sz w:val="20"/>
          <w:szCs w:val="20"/>
          <w:lang w:val="es-ES"/>
        </w:rPr>
        <w:t xml:space="preserve"> el propio Estado </w:t>
      </w:r>
      <w:r w:rsidR="00FB2954" w:rsidRPr="0033605D">
        <w:rPr>
          <w:rFonts w:ascii="Verdana" w:hAnsi="Verdana"/>
          <w:sz w:val="20"/>
          <w:szCs w:val="20"/>
          <w:lang w:val="es-ES"/>
        </w:rPr>
        <w:t>en el proceso ante la Comisión</w:t>
      </w:r>
      <w:r w:rsidR="00F32906" w:rsidRPr="0033605D">
        <w:rPr>
          <w:rFonts w:ascii="Verdana" w:hAnsi="Verdana"/>
          <w:sz w:val="20"/>
          <w:szCs w:val="20"/>
          <w:lang w:val="es-ES"/>
        </w:rPr>
        <w:t>,</w:t>
      </w:r>
      <w:r w:rsidR="00F5296F" w:rsidRPr="0033605D">
        <w:rPr>
          <w:rFonts w:ascii="Verdana" w:hAnsi="Verdana"/>
          <w:sz w:val="20"/>
          <w:szCs w:val="20"/>
          <w:lang w:val="es-ES"/>
        </w:rPr>
        <w:t xml:space="preserve"> </w:t>
      </w:r>
      <w:r w:rsidR="00651F04" w:rsidRPr="0033605D">
        <w:rPr>
          <w:rFonts w:ascii="Verdana" w:hAnsi="Verdana"/>
          <w:sz w:val="20"/>
          <w:szCs w:val="20"/>
          <w:lang w:val="es-ES"/>
        </w:rPr>
        <w:t>sostuvo</w:t>
      </w:r>
      <w:r w:rsidR="0002180D" w:rsidRPr="0033605D">
        <w:rPr>
          <w:rFonts w:ascii="Verdana" w:hAnsi="Verdana"/>
          <w:sz w:val="20"/>
          <w:szCs w:val="20"/>
          <w:lang w:val="es-ES"/>
        </w:rPr>
        <w:t xml:space="preserve"> que </w:t>
      </w:r>
      <w:r w:rsidR="00F5296F" w:rsidRPr="0033605D">
        <w:rPr>
          <w:rFonts w:ascii="Verdana" w:hAnsi="Verdana"/>
          <w:sz w:val="20"/>
          <w:szCs w:val="20"/>
          <w:lang w:val="es-ES"/>
        </w:rPr>
        <w:t xml:space="preserve">el Comité Médico del Hospital </w:t>
      </w:r>
      <w:r w:rsidR="00E278FE" w:rsidRPr="0033605D">
        <w:rPr>
          <w:rFonts w:ascii="Verdana" w:hAnsi="Verdana"/>
          <w:sz w:val="20"/>
          <w:szCs w:val="20"/>
          <w:lang w:val="es-ES"/>
        </w:rPr>
        <w:t>reconoció el peligro de vida</w:t>
      </w:r>
      <w:r w:rsidR="00651F04" w:rsidRPr="0033605D">
        <w:rPr>
          <w:rFonts w:ascii="Verdana" w:hAnsi="Verdana"/>
          <w:sz w:val="20"/>
          <w:szCs w:val="20"/>
          <w:lang w:val="es-ES"/>
        </w:rPr>
        <w:t>,</w:t>
      </w:r>
      <w:r w:rsidR="00E278FE" w:rsidRPr="0033605D">
        <w:rPr>
          <w:rFonts w:ascii="Verdana" w:hAnsi="Verdana"/>
          <w:sz w:val="20"/>
          <w:szCs w:val="20"/>
          <w:lang w:val="es-ES"/>
        </w:rPr>
        <w:t xml:space="preserve"> </w:t>
      </w:r>
      <w:r w:rsidR="00651F04" w:rsidRPr="0033605D">
        <w:rPr>
          <w:rFonts w:ascii="Verdana" w:hAnsi="Verdana"/>
          <w:sz w:val="20"/>
          <w:szCs w:val="20"/>
          <w:lang w:val="es-ES"/>
        </w:rPr>
        <w:t>e</w:t>
      </w:r>
      <w:r w:rsidR="00E278FE" w:rsidRPr="0033605D">
        <w:rPr>
          <w:rFonts w:ascii="Verdana" w:hAnsi="Verdana"/>
          <w:sz w:val="20"/>
          <w:szCs w:val="20"/>
          <w:lang w:val="es-ES"/>
        </w:rPr>
        <w:t xml:space="preserve">n concreto </w:t>
      </w:r>
      <w:r w:rsidR="00F5296F" w:rsidRPr="0033605D">
        <w:rPr>
          <w:rFonts w:ascii="Verdana" w:hAnsi="Verdana"/>
          <w:sz w:val="20"/>
          <w:szCs w:val="20"/>
          <w:lang w:val="es-ES"/>
        </w:rPr>
        <w:t>que</w:t>
      </w:r>
      <w:r w:rsidR="00FB2954" w:rsidRPr="0033605D">
        <w:rPr>
          <w:rFonts w:ascii="Verdana" w:hAnsi="Verdana"/>
          <w:sz w:val="20"/>
          <w:szCs w:val="20"/>
          <w:lang w:val="es-ES"/>
        </w:rPr>
        <w:t xml:space="preserve"> “[…] </w:t>
      </w:r>
      <w:r w:rsidR="00651F04" w:rsidRPr="0033605D">
        <w:rPr>
          <w:rFonts w:ascii="Verdana" w:hAnsi="Verdana"/>
          <w:sz w:val="20"/>
          <w:szCs w:val="20"/>
          <w:lang w:val="es-ES"/>
        </w:rPr>
        <w:t>[l]</w:t>
      </w:r>
      <w:r w:rsidR="00FB2954" w:rsidRPr="0033605D">
        <w:rPr>
          <w:rFonts w:ascii="Verdana" w:hAnsi="Verdana"/>
          <w:sz w:val="20"/>
          <w:szCs w:val="20"/>
          <w:lang w:val="es-ES"/>
        </w:rPr>
        <w:t>a interrupción de la gestación, incluso a la fecha en que el Comité realizaba su evaluación -13 semanas- implicaba un riesgo, aunque menor, de complicaciones médicas y quirúrgicas que podían conducir a la muerte por la evolución propia de la enfermedad que padece”</w:t>
      </w:r>
      <w:r w:rsidR="00FB2954" w:rsidRPr="0033605D">
        <w:rPr>
          <w:rStyle w:val="Refdenotaalpie"/>
          <w:rFonts w:ascii="Verdana" w:hAnsi="Verdana"/>
          <w:sz w:val="20"/>
          <w:szCs w:val="20"/>
          <w:lang w:val="es-ES"/>
        </w:rPr>
        <w:footnoteReference w:id="42"/>
      </w:r>
      <w:r w:rsidR="00FB2954" w:rsidRPr="0033605D">
        <w:rPr>
          <w:rFonts w:ascii="Verdana" w:hAnsi="Verdana"/>
          <w:sz w:val="20"/>
          <w:szCs w:val="20"/>
          <w:lang w:val="es-ES"/>
        </w:rPr>
        <w:t xml:space="preserve">. </w:t>
      </w:r>
    </w:p>
    <w:p w14:paraId="766EA4E7" w14:textId="55B6ED72" w:rsidR="00072D0F" w:rsidRPr="0033605D" w:rsidRDefault="00072D0F"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Si bien </w:t>
      </w:r>
      <w:r w:rsidR="0026429F" w:rsidRPr="0033605D">
        <w:rPr>
          <w:rFonts w:ascii="Verdana" w:hAnsi="Verdana"/>
          <w:sz w:val="20"/>
          <w:szCs w:val="20"/>
          <w:lang w:val="es-ES"/>
        </w:rPr>
        <w:t xml:space="preserve">en el marco del proceso de amparo, </w:t>
      </w:r>
      <w:r w:rsidRPr="0033605D">
        <w:rPr>
          <w:rFonts w:ascii="Verdana" w:hAnsi="Verdana"/>
          <w:sz w:val="20"/>
          <w:szCs w:val="20"/>
          <w:lang w:val="es-ES"/>
        </w:rPr>
        <w:t xml:space="preserve">el </w:t>
      </w:r>
      <w:r w:rsidR="00E64D2A" w:rsidRPr="0033605D">
        <w:rPr>
          <w:rFonts w:ascii="Verdana" w:hAnsi="Verdana"/>
          <w:sz w:val="20"/>
          <w:szCs w:val="20"/>
          <w:lang w:val="es-ES"/>
        </w:rPr>
        <w:t xml:space="preserve">Instituto </w:t>
      </w:r>
      <w:r w:rsidR="009B094A">
        <w:rPr>
          <w:rFonts w:ascii="Verdana" w:hAnsi="Verdana"/>
          <w:sz w:val="20"/>
          <w:szCs w:val="20"/>
          <w:lang w:val="es-ES"/>
        </w:rPr>
        <w:t>de Medicina Legal</w:t>
      </w:r>
      <w:r w:rsidR="00E64D2A" w:rsidRPr="0033605D">
        <w:rPr>
          <w:rFonts w:ascii="Verdana" w:hAnsi="Verdana"/>
          <w:sz w:val="20"/>
          <w:szCs w:val="20"/>
          <w:lang w:val="es-ES"/>
        </w:rPr>
        <w:t xml:space="preserve"> había sostenido un criterio diferente</w:t>
      </w:r>
      <w:r w:rsidR="00C16CED" w:rsidRPr="0033605D">
        <w:rPr>
          <w:rFonts w:ascii="Verdana" w:hAnsi="Verdana"/>
          <w:sz w:val="20"/>
          <w:szCs w:val="20"/>
          <w:lang w:val="es-ES"/>
        </w:rPr>
        <w:t xml:space="preserve">, </w:t>
      </w:r>
      <w:r w:rsidR="00CD4938" w:rsidRPr="0033605D">
        <w:rPr>
          <w:rFonts w:ascii="Verdana" w:hAnsi="Verdana"/>
          <w:sz w:val="20"/>
          <w:szCs w:val="20"/>
          <w:lang w:val="es-ES"/>
        </w:rPr>
        <w:t xml:space="preserve">en particular que </w:t>
      </w:r>
      <w:r w:rsidR="0026429F" w:rsidRPr="0033605D">
        <w:rPr>
          <w:rFonts w:ascii="Verdana" w:hAnsi="Verdana"/>
          <w:sz w:val="20"/>
          <w:szCs w:val="20"/>
          <w:lang w:val="es-ES"/>
        </w:rPr>
        <w:t xml:space="preserve">“no </w:t>
      </w:r>
      <w:r w:rsidR="00CD4938" w:rsidRPr="0033605D">
        <w:rPr>
          <w:rFonts w:ascii="Verdana" w:hAnsi="Verdana"/>
          <w:sz w:val="20"/>
          <w:szCs w:val="20"/>
          <w:lang w:val="es-ES"/>
        </w:rPr>
        <w:t xml:space="preserve">ha[bía] </w:t>
      </w:r>
      <w:r w:rsidR="0026429F" w:rsidRPr="0033605D">
        <w:rPr>
          <w:rFonts w:ascii="Verdana" w:hAnsi="Verdana"/>
          <w:sz w:val="20"/>
          <w:szCs w:val="20"/>
          <w:lang w:val="es-ES"/>
        </w:rPr>
        <w:t xml:space="preserve">evidencia clínica ni de laboratorio, de ninguna circunstancia inminente, real o actual que </w:t>
      </w:r>
      <w:r w:rsidR="00AC4511" w:rsidRPr="0033605D">
        <w:rPr>
          <w:rFonts w:ascii="Verdana" w:hAnsi="Verdana"/>
          <w:sz w:val="20"/>
          <w:szCs w:val="20"/>
          <w:lang w:val="es-ES"/>
        </w:rPr>
        <w:t xml:space="preserve">colo[cara] </w:t>
      </w:r>
      <w:r w:rsidR="0026429F" w:rsidRPr="0033605D">
        <w:rPr>
          <w:rFonts w:ascii="Verdana" w:hAnsi="Verdana"/>
          <w:sz w:val="20"/>
          <w:szCs w:val="20"/>
          <w:lang w:val="es-ES"/>
        </w:rPr>
        <w:t xml:space="preserve">en situación de peligro la vida de </w:t>
      </w:r>
      <w:r w:rsidR="00BE286A">
        <w:rPr>
          <w:rFonts w:ascii="Verdana" w:hAnsi="Verdana"/>
          <w:sz w:val="20"/>
          <w:szCs w:val="20"/>
          <w:lang w:val="es-ES"/>
        </w:rPr>
        <w:t>[Beatriz]</w:t>
      </w:r>
      <w:r w:rsidR="0026429F" w:rsidRPr="0033605D">
        <w:rPr>
          <w:rFonts w:ascii="Verdana" w:hAnsi="Verdana"/>
          <w:sz w:val="20"/>
          <w:szCs w:val="20"/>
          <w:lang w:val="es-ES"/>
        </w:rPr>
        <w:t>”</w:t>
      </w:r>
      <w:r w:rsidR="00C16CED" w:rsidRPr="0033605D">
        <w:rPr>
          <w:rFonts w:ascii="Verdana" w:hAnsi="Verdana"/>
          <w:sz w:val="20"/>
          <w:szCs w:val="20"/>
          <w:lang w:val="es-ES"/>
        </w:rPr>
        <w:t xml:space="preserve"> </w:t>
      </w:r>
      <w:r w:rsidR="007559C4" w:rsidRPr="0033605D">
        <w:rPr>
          <w:rFonts w:ascii="Verdana" w:hAnsi="Verdana"/>
          <w:sz w:val="20"/>
          <w:szCs w:val="20"/>
          <w:lang w:val="es-ES"/>
        </w:rPr>
        <w:t xml:space="preserve">(párrafo </w:t>
      </w:r>
      <w:r w:rsidR="00340DC3" w:rsidRPr="0033605D">
        <w:rPr>
          <w:rFonts w:ascii="Verdana" w:hAnsi="Verdana"/>
          <w:sz w:val="20"/>
          <w:szCs w:val="20"/>
          <w:lang w:val="es-ES"/>
        </w:rPr>
        <w:t>1</w:t>
      </w:r>
      <w:r w:rsidR="009B094A">
        <w:rPr>
          <w:rFonts w:ascii="Verdana" w:hAnsi="Verdana"/>
          <w:sz w:val="20"/>
          <w:szCs w:val="20"/>
          <w:lang w:val="es-ES"/>
        </w:rPr>
        <w:t>39</w:t>
      </w:r>
      <w:r w:rsidR="007559C4" w:rsidRPr="0033605D">
        <w:rPr>
          <w:rFonts w:ascii="Verdana" w:hAnsi="Verdana"/>
          <w:sz w:val="20"/>
          <w:szCs w:val="20"/>
          <w:lang w:val="es-ES"/>
        </w:rPr>
        <w:t>)</w:t>
      </w:r>
      <w:r w:rsidR="00E64D2A" w:rsidRPr="0033605D">
        <w:rPr>
          <w:rFonts w:ascii="Verdana" w:hAnsi="Verdana"/>
          <w:sz w:val="20"/>
          <w:szCs w:val="20"/>
          <w:lang w:val="es-ES"/>
        </w:rPr>
        <w:t xml:space="preserve">, este debía ser analizado en </w:t>
      </w:r>
      <w:r w:rsidR="00D34C9E" w:rsidRPr="0033605D">
        <w:rPr>
          <w:rFonts w:ascii="Verdana" w:hAnsi="Verdana"/>
          <w:sz w:val="20"/>
          <w:szCs w:val="20"/>
          <w:lang w:val="es-ES"/>
        </w:rPr>
        <w:t>conjunto</w:t>
      </w:r>
      <w:r w:rsidR="00E64D2A" w:rsidRPr="0033605D">
        <w:rPr>
          <w:rFonts w:ascii="Verdana" w:hAnsi="Verdana"/>
          <w:sz w:val="20"/>
          <w:szCs w:val="20"/>
          <w:lang w:val="es-ES"/>
        </w:rPr>
        <w:t xml:space="preserve"> con</w:t>
      </w:r>
      <w:r w:rsidR="0026429F" w:rsidRPr="0033605D">
        <w:rPr>
          <w:rFonts w:ascii="Verdana" w:hAnsi="Verdana"/>
          <w:sz w:val="20"/>
          <w:szCs w:val="20"/>
          <w:lang w:val="es-ES"/>
        </w:rPr>
        <w:t xml:space="preserve"> </w:t>
      </w:r>
      <w:r w:rsidR="00C16CED" w:rsidRPr="0033605D">
        <w:rPr>
          <w:rFonts w:ascii="Verdana" w:hAnsi="Verdana"/>
          <w:sz w:val="20"/>
          <w:szCs w:val="20"/>
          <w:lang w:val="es-ES"/>
        </w:rPr>
        <w:t>el criterio de los médicos tratantes</w:t>
      </w:r>
      <w:r w:rsidR="00764020" w:rsidRPr="0033605D">
        <w:rPr>
          <w:rFonts w:ascii="Verdana" w:hAnsi="Verdana"/>
          <w:sz w:val="20"/>
          <w:szCs w:val="20"/>
          <w:lang w:val="es-ES"/>
        </w:rPr>
        <w:t>. En particular, la Corte debía tomar en cuenta que, e</w:t>
      </w:r>
      <w:r w:rsidR="00764020" w:rsidRPr="0033605D">
        <w:rPr>
          <w:rFonts w:ascii="Verdana" w:hAnsi="Verdana"/>
          <w:sz w:val="20"/>
          <w:szCs w:val="20"/>
        </w:rPr>
        <w:t>n su declaración en la audiencia pública el Dr. Ortiz indicó que luego de haberse sometido a los cambios fisiológicos del embarazo, era necesario realizar una biopsia y otros exámenes para poder evaluar la afectación</w:t>
      </w:r>
      <w:r w:rsidR="00A36A11" w:rsidRPr="0033605D">
        <w:rPr>
          <w:rFonts w:ascii="Verdana" w:hAnsi="Verdana"/>
          <w:sz w:val="20"/>
          <w:szCs w:val="20"/>
        </w:rPr>
        <w:t xml:space="preserve"> de la integridad y el riesgo a la vida de Beatriz</w:t>
      </w:r>
      <w:r w:rsidR="00764020" w:rsidRPr="0033605D">
        <w:rPr>
          <w:rFonts w:ascii="Verdana" w:hAnsi="Verdana"/>
          <w:sz w:val="20"/>
          <w:szCs w:val="20"/>
        </w:rPr>
        <w:t>, sin embargo, estos exámenes no fueron realizados</w:t>
      </w:r>
      <w:r w:rsidR="00B42395" w:rsidRPr="0033605D">
        <w:rPr>
          <w:rStyle w:val="Refdenotaalpie"/>
          <w:rFonts w:ascii="Verdana" w:hAnsi="Verdana"/>
          <w:sz w:val="20"/>
          <w:szCs w:val="20"/>
        </w:rPr>
        <w:footnoteReference w:id="43"/>
      </w:r>
      <w:r w:rsidR="00764020" w:rsidRPr="0033605D">
        <w:rPr>
          <w:rFonts w:ascii="Verdana" w:hAnsi="Verdana"/>
          <w:sz w:val="20"/>
          <w:szCs w:val="20"/>
        </w:rPr>
        <w:t>.</w:t>
      </w:r>
      <w:r w:rsidR="00764020" w:rsidRPr="0033605D">
        <w:rPr>
          <w:rFonts w:ascii="Verdana" w:hAnsi="Verdana"/>
          <w:sz w:val="20"/>
          <w:szCs w:val="20"/>
          <w:lang w:val="es-ES"/>
        </w:rPr>
        <w:t xml:space="preserve"> </w:t>
      </w:r>
      <w:r w:rsidR="0026429F" w:rsidRPr="0033605D">
        <w:rPr>
          <w:rFonts w:ascii="Verdana" w:hAnsi="Verdana"/>
          <w:sz w:val="20"/>
          <w:szCs w:val="20"/>
          <w:lang w:val="es-ES"/>
        </w:rPr>
        <w:t xml:space="preserve">De manera que, no era posible </w:t>
      </w:r>
      <w:r w:rsidR="00E43D44" w:rsidRPr="0033605D">
        <w:rPr>
          <w:rFonts w:ascii="Verdana" w:hAnsi="Verdana"/>
          <w:sz w:val="20"/>
          <w:szCs w:val="20"/>
          <w:lang w:val="es-ES"/>
        </w:rPr>
        <w:t xml:space="preserve">dar prevalencia al criterio del Instituto de Medicina Legal, máxime cuando no se habían realizado </w:t>
      </w:r>
      <w:r w:rsidR="00A36A11" w:rsidRPr="0033605D">
        <w:rPr>
          <w:rFonts w:ascii="Verdana" w:hAnsi="Verdana"/>
          <w:sz w:val="20"/>
          <w:szCs w:val="20"/>
          <w:lang w:val="es-ES"/>
        </w:rPr>
        <w:t>los</w:t>
      </w:r>
      <w:r w:rsidR="00E43D44" w:rsidRPr="0033605D">
        <w:rPr>
          <w:rFonts w:ascii="Verdana" w:hAnsi="Verdana"/>
          <w:sz w:val="20"/>
          <w:szCs w:val="20"/>
          <w:lang w:val="es-ES"/>
        </w:rPr>
        <w:t xml:space="preserve"> análisis</w:t>
      </w:r>
      <w:r w:rsidR="00A36A11" w:rsidRPr="0033605D">
        <w:rPr>
          <w:rFonts w:ascii="Verdana" w:hAnsi="Verdana"/>
          <w:sz w:val="20"/>
          <w:szCs w:val="20"/>
          <w:lang w:val="es-ES"/>
        </w:rPr>
        <w:t xml:space="preserve"> médicos</w:t>
      </w:r>
      <w:r w:rsidR="00E43D44" w:rsidRPr="0033605D">
        <w:rPr>
          <w:rFonts w:ascii="Verdana" w:hAnsi="Verdana"/>
          <w:sz w:val="20"/>
          <w:szCs w:val="20"/>
          <w:lang w:val="es-ES"/>
        </w:rPr>
        <w:t xml:space="preserve"> necesario</w:t>
      </w:r>
      <w:r w:rsidR="00A36A11" w:rsidRPr="0033605D">
        <w:rPr>
          <w:rFonts w:ascii="Verdana" w:hAnsi="Verdana"/>
          <w:sz w:val="20"/>
          <w:szCs w:val="20"/>
          <w:lang w:val="es-ES"/>
        </w:rPr>
        <w:t>s</w:t>
      </w:r>
      <w:r w:rsidR="00C55F75" w:rsidRPr="0033605D">
        <w:rPr>
          <w:rFonts w:ascii="Verdana" w:hAnsi="Verdana"/>
          <w:sz w:val="20"/>
          <w:szCs w:val="20"/>
          <w:lang w:val="es-ES"/>
        </w:rPr>
        <w:t xml:space="preserve"> y existían alegatos sobre vicios causados por vulneraciones al debido proceso </w:t>
      </w:r>
      <w:r w:rsidR="006A436C" w:rsidRPr="0033605D">
        <w:rPr>
          <w:rFonts w:ascii="Verdana" w:hAnsi="Verdana"/>
          <w:sz w:val="20"/>
          <w:szCs w:val="20"/>
          <w:lang w:val="es-ES"/>
        </w:rPr>
        <w:t>en el marco de dicho peritaje</w:t>
      </w:r>
      <w:r w:rsidR="007559C4" w:rsidRPr="0033605D">
        <w:rPr>
          <w:rStyle w:val="Refdenotaalpie"/>
          <w:rFonts w:ascii="Verdana" w:hAnsi="Verdana"/>
          <w:sz w:val="20"/>
          <w:szCs w:val="20"/>
          <w:lang w:val="es-ES"/>
        </w:rPr>
        <w:footnoteReference w:id="44"/>
      </w:r>
      <w:r w:rsidR="00DB28AE" w:rsidRPr="0033605D">
        <w:rPr>
          <w:rFonts w:ascii="Verdana" w:hAnsi="Verdana"/>
          <w:sz w:val="20"/>
          <w:szCs w:val="20"/>
          <w:lang w:val="es-ES"/>
        </w:rPr>
        <w:t xml:space="preserve">. </w:t>
      </w:r>
    </w:p>
    <w:p w14:paraId="10042B02" w14:textId="25E8F5B0" w:rsidR="002E6543" w:rsidRPr="0033605D" w:rsidRDefault="00A24F8B" w:rsidP="00610057">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De otra parte, </w:t>
      </w:r>
      <w:r w:rsidR="00582001" w:rsidRPr="0033605D">
        <w:rPr>
          <w:rFonts w:ascii="Verdana" w:hAnsi="Verdana"/>
          <w:sz w:val="20"/>
          <w:szCs w:val="20"/>
          <w:lang w:val="es-ES"/>
        </w:rPr>
        <w:t xml:space="preserve">la sentencia desconoce </w:t>
      </w:r>
      <w:r w:rsidR="00636055" w:rsidRPr="0033605D">
        <w:rPr>
          <w:rFonts w:ascii="Verdana" w:hAnsi="Verdana"/>
          <w:sz w:val="20"/>
          <w:szCs w:val="20"/>
          <w:lang w:val="es-ES"/>
        </w:rPr>
        <w:t>el precedente según el cual,</w:t>
      </w:r>
      <w:r w:rsidR="002E04FE" w:rsidRPr="0033605D">
        <w:rPr>
          <w:rFonts w:ascii="Verdana" w:hAnsi="Verdana"/>
          <w:sz w:val="20"/>
          <w:szCs w:val="20"/>
          <w:lang w:val="es-ES"/>
        </w:rPr>
        <w:t xml:space="preserve"> </w:t>
      </w:r>
      <w:r w:rsidR="00656DB8" w:rsidRPr="0033605D">
        <w:rPr>
          <w:rFonts w:ascii="Verdana" w:hAnsi="Verdana"/>
          <w:sz w:val="20"/>
          <w:szCs w:val="20"/>
          <w:lang w:val="es-ES"/>
        </w:rPr>
        <w:t>cuando el</w:t>
      </w:r>
      <w:r w:rsidR="002E04FE" w:rsidRPr="0033605D">
        <w:rPr>
          <w:rFonts w:ascii="Verdana" w:hAnsi="Verdana"/>
          <w:sz w:val="20"/>
          <w:szCs w:val="20"/>
          <w:lang w:val="es-ES"/>
        </w:rPr>
        <w:t xml:space="preserve"> </w:t>
      </w:r>
      <w:r w:rsidR="00C85391" w:rsidRPr="0033605D">
        <w:rPr>
          <w:rFonts w:ascii="Verdana" w:hAnsi="Verdana"/>
          <w:sz w:val="20"/>
          <w:szCs w:val="20"/>
          <w:lang w:val="es-ES"/>
        </w:rPr>
        <w:t>“Estado no toma las medidas adecuadas para prevenir los riesgos de mortalidad materna, evidentemente impacta el derecho a la vida de las mujeres embarazadas y en periodo de posparto”</w:t>
      </w:r>
      <w:r w:rsidR="00C85391" w:rsidRPr="0033605D">
        <w:rPr>
          <w:rStyle w:val="Refdenotaalpie"/>
          <w:rFonts w:ascii="Verdana" w:hAnsi="Verdana"/>
          <w:sz w:val="20"/>
          <w:szCs w:val="20"/>
          <w:lang w:val="es-ES"/>
        </w:rPr>
        <w:footnoteReference w:id="45"/>
      </w:r>
      <w:r w:rsidR="002E04FE" w:rsidRPr="0033605D">
        <w:rPr>
          <w:rFonts w:ascii="Verdana" w:hAnsi="Verdana"/>
          <w:sz w:val="20"/>
          <w:szCs w:val="20"/>
          <w:lang w:val="es-ES"/>
        </w:rPr>
        <w:t xml:space="preserve">. </w:t>
      </w:r>
      <w:r w:rsidR="00AA301B" w:rsidRPr="0033605D">
        <w:rPr>
          <w:rFonts w:ascii="Verdana" w:hAnsi="Verdana"/>
          <w:sz w:val="20"/>
          <w:szCs w:val="20"/>
          <w:lang w:val="es-ES"/>
        </w:rPr>
        <w:t>Así</w:t>
      </w:r>
      <w:r w:rsidR="00610057" w:rsidRPr="0033605D">
        <w:rPr>
          <w:rFonts w:ascii="Verdana" w:hAnsi="Verdana"/>
          <w:sz w:val="20"/>
          <w:szCs w:val="20"/>
          <w:lang w:val="es-ES"/>
        </w:rPr>
        <w:t xml:space="preserve"> era absolutamente </w:t>
      </w:r>
      <w:r w:rsidR="0050433D" w:rsidRPr="0033605D">
        <w:rPr>
          <w:rFonts w:ascii="Verdana" w:hAnsi="Verdana"/>
          <w:sz w:val="20"/>
          <w:szCs w:val="20"/>
          <w:lang w:val="es-ES"/>
        </w:rPr>
        <w:t>claro</w:t>
      </w:r>
      <w:r w:rsidR="00610057" w:rsidRPr="0033605D">
        <w:rPr>
          <w:rFonts w:ascii="Verdana" w:hAnsi="Verdana"/>
          <w:sz w:val="20"/>
          <w:szCs w:val="20"/>
          <w:lang w:val="es-ES"/>
        </w:rPr>
        <w:t xml:space="preserve"> que el Estado violó el derecho a la vida en el caso porque, además de encontrarse en riesgo la vida de Beatriz, no implementó medidas para evitar que la criminalización de</w:t>
      </w:r>
      <w:r w:rsidR="00AA301B" w:rsidRPr="0033605D">
        <w:rPr>
          <w:rFonts w:ascii="Verdana" w:hAnsi="Verdana"/>
          <w:sz w:val="20"/>
          <w:szCs w:val="20"/>
          <w:lang w:val="es-ES"/>
        </w:rPr>
        <w:t xml:space="preserve"> la interrupción voluntaria del embarazo</w:t>
      </w:r>
      <w:r w:rsidR="006A0FBB" w:rsidRPr="0033605D">
        <w:rPr>
          <w:rFonts w:ascii="Verdana" w:hAnsi="Verdana"/>
          <w:sz w:val="20"/>
          <w:szCs w:val="20"/>
          <w:lang w:val="es-ES"/>
        </w:rPr>
        <w:t xml:space="preserve"> impidiera llevar a cabo el tratamiento médico para prevenir su </w:t>
      </w:r>
      <w:r w:rsidR="00376DF3" w:rsidRPr="0033605D">
        <w:rPr>
          <w:rFonts w:ascii="Verdana" w:hAnsi="Verdana"/>
          <w:sz w:val="20"/>
          <w:szCs w:val="20"/>
          <w:lang w:val="es-ES"/>
        </w:rPr>
        <w:t xml:space="preserve">posible </w:t>
      </w:r>
      <w:r w:rsidR="006A0FBB" w:rsidRPr="0033605D">
        <w:rPr>
          <w:rFonts w:ascii="Verdana" w:hAnsi="Verdana"/>
          <w:sz w:val="20"/>
          <w:szCs w:val="20"/>
          <w:lang w:val="es-ES"/>
        </w:rPr>
        <w:t>muerte</w:t>
      </w:r>
      <w:r w:rsidR="00D85FE8" w:rsidRPr="0033605D">
        <w:rPr>
          <w:rFonts w:ascii="Verdana" w:hAnsi="Verdana"/>
          <w:sz w:val="20"/>
          <w:szCs w:val="20"/>
          <w:lang w:val="es-ES"/>
        </w:rPr>
        <w:t xml:space="preserve">. </w:t>
      </w:r>
      <w:r w:rsidR="00D34C9E" w:rsidRPr="0033605D">
        <w:rPr>
          <w:rFonts w:ascii="Verdana" w:hAnsi="Verdana"/>
          <w:sz w:val="20"/>
          <w:szCs w:val="20"/>
          <w:lang w:val="es-ES"/>
        </w:rPr>
        <w:t>Esta omisión de la Corte es inaceptable</w:t>
      </w:r>
      <w:r w:rsidR="00376DF3" w:rsidRPr="0033605D">
        <w:rPr>
          <w:rFonts w:ascii="Verdana" w:hAnsi="Verdana"/>
          <w:sz w:val="20"/>
          <w:szCs w:val="20"/>
          <w:lang w:val="es-ES"/>
        </w:rPr>
        <w:t xml:space="preserve">, </w:t>
      </w:r>
      <w:r w:rsidR="00610057" w:rsidRPr="0033605D">
        <w:rPr>
          <w:rFonts w:ascii="Verdana" w:hAnsi="Verdana"/>
          <w:sz w:val="20"/>
          <w:szCs w:val="20"/>
          <w:lang w:val="es-ES"/>
        </w:rPr>
        <w:t>pues</w:t>
      </w:r>
      <w:r w:rsidR="00D34C9E" w:rsidRPr="0033605D">
        <w:rPr>
          <w:rFonts w:ascii="Verdana" w:hAnsi="Verdana"/>
          <w:sz w:val="20"/>
          <w:szCs w:val="20"/>
          <w:lang w:val="es-ES"/>
        </w:rPr>
        <w:t xml:space="preserve"> parece significar que las violaciones del derecho a la vida solo ocurren cuando la víctima ha muerto, y no cuando hay elementos suficientes para demostrar que el Estado no implementó medidas para evitar un riesgo evidente </w:t>
      </w:r>
      <w:r w:rsidR="00376DF3" w:rsidRPr="0033605D">
        <w:rPr>
          <w:rFonts w:ascii="Verdana" w:hAnsi="Verdana"/>
          <w:sz w:val="20"/>
          <w:szCs w:val="20"/>
          <w:lang w:val="es-ES"/>
        </w:rPr>
        <w:t>a este derecho</w:t>
      </w:r>
      <w:r w:rsidR="00D34C9E" w:rsidRPr="0033605D">
        <w:rPr>
          <w:rFonts w:ascii="Verdana" w:hAnsi="Verdana"/>
          <w:sz w:val="20"/>
          <w:szCs w:val="20"/>
          <w:lang w:val="es-ES"/>
        </w:rPr>
        <w:t xml:space="preserve">. Creo que </w:t>
      </w:r>
      <w:r w:rsidR="00376DF3" w:rsidRPr="0033605D">
        <w:rPr>
          <w:rFonts w:ascii="Verdana" w:hAnsi="Verdana"/>
          <w:sz w:val="20"/>
          <w:szCs w:val="20"/>
          <w:lang w:val="es-ES"/>
        </w:rPr>
        <w:t>este abordaje es muy reprochable,</w:t>
      </w:r>
      <w:r w:rsidR="00D34C9E" w:rsidRPr="0033605D">
        <w:rPr>
          <w:rFonts w:ascii="Verdana" w:hAnsi="Verdana"/>
          <w:sz w:val="20"/>
          <w:szCs w:val="20"/>
          <w:lang w:val="es-ES"/>
        </w:rPr>
        <w:t xml:space="preserve"> no solo porque la obligación de garantizar el derecho a la vida incluye la obligación </w:t>
      </w:r>
      <w:r w:rsidR="00610057" w:rsidRPr="0033605D">
        <w:rPr>
          <w:rFonts w:ascii="Verdana" w:hAnsi="Verdana"/>
          <w:sz w:val="20"/>
          <w:szCs w:val="20"/>
          <w:lang w:val="es-ES"/>
        </w:rPr>
        <w:t>de implementar</w:t>
      </w:r>
      <w:r w:rsidR="00D34C9E" w:rsidRPr="0033605D">
        <w:rPr>
          <w:rFonts w:ascii="Verdana" w:hAnsi="Verdana"/>
          <w:sz w:val="20"/>
          <w:szCs w:val="20"/>
          <w:lang w:val="es-ES"/>
        </w:rPr>
        <w:t xml:space="preserve"> medidas preventivas, especialmente ante riesgos de mortalidad materna, sino porque es </w:t>
      </w:r>
      <w:r w:rsidR="00610057" w:rsidRPr="0033605D">
        <w:rPr>
          <w:rFonts w:ascii="Verdana" w:hAnsi="Verdana"/>
          <w:sz w:val="20"/>
          <w:szCs w:val="20"/>
          <w:lang w:val="es-ES"/>
        </w:rPr>
        <w:t xml:space="preserve">contradictorio respecto de otros casos. En efecto, creo que es incoherente que la Corte declare la violación del derecho a la vida </w:t>
      </w:r>
      <w:r w:rsidR="006A0FBB" w:rsidRPr="0033605D">
        <w:rPr>
          <w:rFonts w:ascii="Verdana" w:hAnsi="Verdana"/>
          <w:sz w:val="20"/>
          <w:szCs w:val="20"/>
          <w:lang w:val="es-ES"/>
        </w:rPr>
        <w:t xml:space="preserve">solo </w:t>
      </w:r>
      <w:r w:rsidR="00610057" w:rsidRPr="0033605D">
        <w:rPr>
          <w:rFonts w:ascii="Verdana" w:hAnsi="Verdana"/>
          <w:sz w:val="20"/>
          <w:szCs w:val="20"/>
          <w:lang w:val="es-ES"/>
        </w:rPr>
        <w:t xml:space="preserve">por la falta de investigación de casos </w:t>
      </w:r>
      <w:r w:rsidR="00610057" w:rsidRPr="0033605D">
        <w:rPr>
          <w:rFonts w:ascii="Verdana" w:hAnsi="Verdana"/>
          <w:sz w:val="20"/>
          <w:szCs w:val="20"/>
          <w:lang w:val="es-ES"/>
        </w:rPr>
        <w:lastRenderedPageBreak/>
        <w:t>de homicidio no atribuibles al Estado</w:t>
      </w:r>
      <w:r w:rsidR="00610057" w:rsidRPr="005B4245">
        <w:rPr>
          <w:rStyle w:val="Refdenotaalpie"/>
          <w:rFonts w:ascii="Verdana" w:hAnsi="Verdana"/>
          <w:sz w:val="20"/>
          <w:szCs w:val="20"/>
          <w:lang w:val="es-ES"/>
        </w:rPr>
        <w:footnoteReference w:id="46"/>
      </w:r>
      <w:r w:rsidR="00610057" w:rsidRPr="0033605D">
        <w:rPr>
          <w:rFonts w:ascii="Verdana" w:hAnsi="Verdana"/>
          <w:sz w:val="20"/>
          <w:szCs w:val="20"/>
          <w:lang w:val="es-ES"/>
        </w:rPr>
        <w:t>, pero en casos como el de Beatriz</w:t>
      </w:r>
      <w:r w:rsidR="006A0FBB" w:rsidRPr="0033605D">
        <w:rPr>
          <w:rFonts w:ascii="Verdana" w:hAnsi="Verdana"/>
          <w:sz w:val="20"/>
          <w:szCs w:val="20"/>
          <w:lang w:val="es-ES"/>
        </w:rPr>
        <w:t xml:space="preserve">, </w:t>
      </w:r>
      <w:r w:rsidR="00610057" w:rsidRPr="0033605D">
        <w:rPr>
          <w:rFonts w:ascii="Verdana" w:hAnsi="Verdana"/>
          <w:sz w:val="20"/>
          <w:szCs w:val="20"/>
          <w:lang w:val="es-ES"/>
        </w:rPr>
        <w:t>de riesgo probado a la vida</w:t>
      </w:r>
      <w:r w:rsidR="006A0FBB" w:rsidRPr="0033605D">
        <w:rPr>
          <w:rFonts w:ascii="Verdana" w:hAnsi="Verdana"/>
          <w:sz w:val="20"/>
          <w:szCs w:val="20"/>
          <w:lang w:val="es-ES"/>
        </w:rPr>
        <w:t xml:space="preserve"> y falta de prevención atribuible al Estado</w:t>
      </w:r>
      <w:r w:rsidR="00610057" w:rsidRPr="0033605D">
        <w:rPr>
          <w:rFonts w:ascii="Verdana" w:hAnsi="Verdana"/>
          <w:sz w:val="20"/>
          <w:szCs w:val="20"/>
          <w:lang w:val="es-ES"/>
        </w:rPr>
        <w:t xml:space="preserve">, reduzca el ámbito de protección de dicho derecho.  </w:t>
      </w:r>
    </w:p>
    <w:p w14:paraId="07199BFD" w14:textId="341555EB" w:rsidR="00407504" w:rsidRPr="0033605D" w:rsidRDefault="002E6543" w:rsidP="00376DF3">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En conclusión</w:t>
      </w:r>
      <w:r w:rsidR="00376DF3" w:rsidRPr="0033605D">
        <w:rPr>
          <w:rFonts w:ascii="Verdana" w:hAnsi="Verdana"/>
          <w:sz w:val="20"/>
          <w:szCs w:val="20"/>
          <w:lang w:val="es-ES"/>
        </w:rPr>
        <w:t xml:space="preserve">, la falta de análisis de los estándares sobre derechos sexuales y reproductivos en el caso es </w:t>
      </w:r>
      <w:r w:rsidR="00971CFA" w:rsidRPr="0033605D">
        <w:rPr>
          <w:rFonts w:ascii="Verdana" w:hAnsi="Verdana"/>
          <w:sz w:val="20"/>
          <w:szCs w:val="20"/>
          <w:lang w:val="es-ES"/>
        </w:rPr>
        <w:t>ina</w:t>
      </w:r>
      <w:r w:rsidR="00555E64">
        <w:rPr>
          <w:rFonts w:ascii="Verdana" w:hAnsi="Verdana"/>
          <w:sz w:val="20"/>
          <w:szCs w:val="20"/>
          <w:lang w:val="es-ES"/>
        </w:rPr>
        <w:t>d</w:t>
      </w:r>
      <w:r w:rsidR="00971CFA" w:rsidRPr="0033605D">
        <w:rPr>
          <w:rFonts w:ascii="Verdana" w:hAnsi="Verdana"/>
          <w:sz w:val="20"/>
          <w:szCs w:val="20"/>
          <w:lang w:val="es-ES"/>
        </w:rPr>
        <w:t xml:space="preserve">misible, pues no existen argumentos para justificar el tratamiento marginal que la Corte dio a los derechos de las mujeres en este caso. </w:t>
      </w:r>
      <w:r w:rsidR="00376DF3" w:rsidRPr="0033605D">
        <w:rPr>
          <w:rFonts w:ascii="Verdana" w:hAnsi="Verdana"/>
          <w:sz w:val="20"/>
          <w:szCs w:val="20"/>
          <w:lang w:val="es-ES"/>
        </w:rPr>
        <w:t>A</w:t>
      </w:r>
      <w:r w:rsidR="005B5F75" w:rsidRPr="0033605D">
        <w:rPr>
          <w:rFonts w:ascii="Verdana" w:hAnsi="Verdana"/>
          <w:sz w:val="20"/>
          <w:szCs w:val="20"/>
          <w:lang w:val="es-ES"/>
        </w:rPr>
        <w:t xml:space="preserve"> diferencia de lo que </w:t>
      </w:r>
      <w:r w:rsidR="00971CFA" w:rsidRPr="0033605D">
        <w:rPr>
          <w:rFonts w:ascii="Verdana" w:hAnsi="Verdana"/>
          <w:sz w:val="20"/>
          <w:szCs w:val="20"/>
          <w:lang w:val="es-ES"/>
        </w:rPr>
        <w:t xml:space="preserve">se hizo en la </w:t>
      </w:r>
      <w:r w:rsidR="009B094A">
        <w:rPr>
          <w:rFonts w:ascii="Verdana" w:hAnsi="Verdana"/>
          <w:sz w:val="20"/>
          <w:szCs w:val="20"/>
          <w:lang w:val="es-ES"/>
        </w:rPr>
        <w:t>S</w:t>
      </w:r>
      <w:r w:rsidR="00971CFA" w:rsidRPr="0033605D">
        <w:rPr>
          <w:rFonts w:ascii="Verdana" w:hAnsi="Verdana"/>
          <w:sz w:val="20"/>
          <w:szCs w:val="20"/>
          <w:lang w:val="es-ES"/>
        </w:rPr>
        <w:t>entencia</w:t>
      </w:r>
      <w:r w:rsidR="005B5F75" w:rsidRPr="0033605D">
        <w:rPr>
          <w:rFonts w:ascii="Verdana" w:hAnsi="Verdana"/>
          <w:sz w:val="20"/>
          <w:szCs w:val="20"/>
          <w:lang w:val="es-ES"/>
        </w:rPr>
        <w:t xml:space="preserve">, creo que </w:t>
      </w:r>
      <w:r w:rsidR="008E6FA6" w:rsidRPr="0033605D">
        <w:rPr>
          <w:rFonts w:ascii="Verdana" w:hAnsi="Verdana"/>
          <w:sz w:val="20"/>
          <w:szCs w:val="20"/>
          <w:lang w:val="es-ES"/>
        </w:rPr>
        <w:t xml:space="preserve">en el caso se debía declarar la responsabilidad internacional de El Salvador por la violación de los derechos a la vida, a la integridad personal, a la libertad, </w:t>
      </w:r>
      <w:r w:rsidR="00715A53" w:rsidRPr="0033605D">
        <w:rPr>
          <w:rFonts w:ascii="Verdana" w:hAnsi="Verdana"/>
          <w:sz w:val="20"/>
          <w:szCs w:val="20"/>
          <w:lang w:val="es-ES"/>
        </w:rPr>
        <w:t>a la vida privada y a la igualdad y no discriminación,</w:t>
      </w:r>
      <w:r w:rsidR="00334449" w:rsidRPr="0033605D">
        <w:rPr>
          <w:rFonts w:ascii="Verdana" w:hAnsi="Verdana"/>
          <w:sz w:val="20"/>
          <w:szCs w:val="20"/>
          <w:lang w:val="es-ES"/>
        </w:rPr>
        <w:t xml:space="preserve"> porque la prohibición absoluta de la interrupción voluntaria del </w:t>
      </w:r>
      <w:r w:rsidR="005766C9" w:rsidRPr="0033605D">
        <w:rPr>
          <w:rFonts w:ascii="Verdana" w:hAnsi="Verdana"/>
          <w:sz w:val="20"/>
          <w:szCs w:val="20"/>
          <w:lang w:val="es-ES"/>
        </w:rPr>
        <w:t>embarazo</w:t>
      </w:r>
      <w:r w:rsidR="001F7BB7" w:rsidRPr="0033605D">
        <w:rPr>
          <w:rFonts w:ascii="Verdana" w:hAnsi="Verdana"/>
          <w:sz w:val="20"/>
          <w:szCs w:val="20"/>
          <w:lang w:val="es-ES"/>
        </w:rPr>
        <w:t xml:space="preserve">, ratificada por </w:t>
      </w:r>
      <w:r w:rsidR="000D416F" w:rsidRPr="0033605D">
        <w:rPr>
          <w:rFonts w:ascii="Verdana" w:hAnsi="Verdana"/>
          <w:sz w:val="20"/>
          <w:szCs w:val="20"/>
          <w:lang w:val="es-ES"/>
        </w:rPr>
        <w:t>la Sala de lo Constitucional,</w:t>
      </w:r>
      <w:r w:rsidR="00334449" w:rsidRPr="0033605D">
        <w:rPr>
          <w:rFonts w:ascii="Verdana" w:hAnsi="Verdana"/>
          <w:sz w:val="20"/>
          <w:szCs w:val="20"/>
          <w:lang w:val="es-ES"/>
        </w:rPr>
        <w:t xml:space="preserve"> impidió a Beatriz ejercer su autonomía reproductiva, </w:t>
      </w:r>
      <w:r w:rsidR="004B657F" w:rsidRPr="0033605D">
        <w:rPr>
          <w:rFonts w:ascii="Verdana" w:hAnsi="Verdana"/>
          <w:sz w:val="20"/>
          <w:szCs w:val="20"/>
          <w:lang w:val="es-ES"/>
        </w:rPr>
        <w:t>puso en riesgo su vida</w:t>
      </w:r>
      <w:r w:rsidR="005B5F75" w:rsidRPr="0033605D">
        <w:rPr>
          <w:rFonts w:ascii="Verdana" w:hAnsi="Verdana"/>
          <w:sz w:val="20"/>
          <w:szCs w:val="20"/>
          <w:lang w:val="es-ES"/>
        </w:rPr>
        <w:t>, generó profundas afectaciones a su</w:t>
      </w:r>
      <w:r w:rsidR="004B657F" w:rsidRPr="0033605D">
        <w:rPr>
          <w:rFonts w:ascii="Verdana" w:hAnsi="Verdana"/>
          <w:sz w:val="20"/>
          <w:szCs w:val="20"/>
          <w:lang w:val="es-ES"/>
        </w:rPr>
        <w:t xml:space="preserve"> integridad </w:t>
      </w:r>
      <w:r w:rsidR="005B5F75" w:rsidRPr="0033605D">
        <w:rPr>
          <w:rFonts w:ascii="Verdana" w:hAnsi="Verdana"/>
          <w:sz w:val="20"/>
          <w:szCs w:val="20"/>
          <w:lang w:val="es-ES"/>
        </w:rPr>
        <w:t xml:space="preserve">física y mental </w:t>
      </w:r>
      <w:r w:rsidR="004B657F" w:rsidRPr="0033605D">
        <w:rPr>
          <w:rFonts w:ascii="Verdana" w:hAnsi="Verdana"/>
          <w:sz w:val="20"/>
          <w:szCs w:val="20"/>
          <w:lang w:val="es-ES"/>
        </w:rPr>
        <w:t xml:space="preserve">y constituyó un acto de discriminación y de violencia obstétrica. </w:t>
      </w:r>
      <w:r w:rsidR="00A15DFE" w:rsidRPr="0033605D">
        <w:rPr>
          <w:rFonts w:ascii="Verdana" w:hAnsi="Verdana"/>
          <w:sz w:val="20"/>
          <w:szCs w:val="20"/>
          <w:lang w:val="es-ES"/>
        </w:rPr>
        <w:t xml:space="preserve">Al no haberlo hecho, la Corte </w:t>
      </w:r>
      <w:r w:rsidR="00376DF3" w:rsidRPr="0033605D">
        <w:rPr>
          <w:rFonts w:ascii="Verdana" w:hAnsi="Verdana"/>
          <w:sz w:val="20"/>
          <w:szCs w:val="20"/>
          <w:lang w:val="es-ES"/>
        </w:rPr>
        <w:t>abandonó</w:t>
      </w:r>
      <w:r w:rsidR="00A15DFE" w:rsidRPr="0033605D">
        <w:rPr>
          <w:rFonts w:ascii="Verdana" w:hAnsi="Verdana"/>
          <w:sz w:val="20"/>
          <w:szCs w:val="20"/>
          <w:lang w:val="es-ES"/>
        </w:rPr>
        <w:t xml:space="preserve"> su </w:t>
      </w:r>
      <w:r w:rsidR="00376DF3" w:rsidRPr="0033605D">
        <w:rPr>
          <w:rFonts w:ascii="Verdana" w:hAnsi="Verdana"/>
          <w:sz w:val="20"/>
          <w:szCs w:val="20"/>
          <w:lang w:val="es-ES"/>
        </w:rPr>
        <w:t>jurisprudencia</w:t>
      </w:r>
      <w:r w:rsidR="005766C9" w:rsidRPr="0033605D">
        <w:rPr>
          <w:rFonts w:ascii="Verdana" w:hAnsi="Verdana"/>
          <w:sz w:val="20"/>
          <w:szCs w:val="20"/>
          <w:lang w:val="es-ES"/>
        </w:rPr>
        <w:t xml:space="preserve"> sobre derechos sexuales y reproductivos </w:t>
      </w:r>
      <w:r w:rsidR="005B5F75" w:rsidRPr="0033605D">
        <w:rPr>
          <w:rFonts w:ascii="Verdana" w:hAnsi="Verdana"/>
          <w:sz w:val="20"/>
          <w:szCs w:val="20"/>
          <w:lang w:val="es-ES"/>
        </w:rPr>
        <w:t xml:space="preserve">y </w:t>
      </w:r>
      <w:r w:rsidR="00A15DFE" w:rsidRPr="0033605D">
        <w:rPr>
          <w:rFonts w:ascii="Verdana" w:hAnsi="Verdana"/>
          <w:sz w:val="20"/>
          <w:szCs w:val="20"/>
          <w:lang w:val="es-ES"/>
        </w:rPr>
        <w:t>omitió</w:t>
      </w:r>
      <w:r w:rsidR="005B5F75" w:rsidRPr="0033605D">
        <w:rPr>
          <w:rFonts w:ascii="Verdana" w:hAnsi="Verdana"/>
          <w:sz w:val="20"/>
          <w:szCs w:val="20"/>
          <w:lang w:val="es-ES"/>
        </w:rPr>
        <w:t xml:space="preserve"> </w:t>
      </w:r>
      <w:r w:rsidR="00A15DFE" w:rsidRPr="0033605D">
        <w:rPr>
          <w:rFonts w:ascii="Verdana" w:hAnsi="Verdana"/>
          <w:sz w:val="20"/>
          <w:szCs w:val="20"/>
          <w:lang w:val="es-ES"/>
        </w:rPr>
        <w:t xml:space="preserve">aplicar una </w:t>
      </w:r>
      <w:r w:rsidR="005B5F75" w:rsidRPr="0033605D">
        <w:rPr>
          <w:rFonts w:ascii="Verdana" w:hAnsi="Verdana"/>
          <w:sz w:val="20"/>
          <w:szCs w:val="20"/>
          <w:lang w:val="es-ES"/>
        </w:rPr>
        <w:t>perspectiva de género</w:t>
      </w:r>
      <w:r w:rsidR="00F46037" w:rsidRPr="0033605D">
        <w:rPr>
          <w:rFonts w:ascii="Verdana" w:hAnsi="Verdana"/>
          <w:sz w:val="20"/>
          <w:szCs w:val="20"/>
          <w:lang w:val="es-ES"/>
        </w:rPr>
        <w:t xml:space="preserve">. </w:t>
      </w:r>
      <w:r w:rsidR="00971CFA" w:rsidRPr="0033605D">
        <w:rPr>
          <w:rFonts w:ascii="Verdana" w:hAnsi="Verdana"/>
          <w:sz w:val="20"/>
          <w:szCs w:val="20"/>
          <w:lang w:val="es-ES"/>
        </w:rPr>
        <w:t>Con esto</w:t>
      </w:r>
      <w:r w:rsidR="004B27B7" w:rsidRPr="0033605D">
        <w:rPr>
          <w:rFonts w:ascii="Verdana" w:hAnsi="Verdana"/>
          <w:sz w:val="20"/>
          <w:szCs w:val="20"/>
          <w:lang w:val="es-ES"/>
        </w:rPr>
        <w:t>, el Tribunal d</w:t>
      </w:r>
      <w:r w:rsidR="00F62920" w:rsidRPr="0033605D">
        <w:rPr>
          <w:rFonts w:ascii="Verdana" w:hAnsi="Verdana"/>
          <w:sz w:val="20"/>
          <w:szCs w:val="20"/>
          <w:lang w:val="es-ES"/>
        </w:rPr>
        <w:t xml:space="preserve">esconoció los derechos de Beatriz y generó un precedente </w:t>
      </w:r>
      <w:r w:rsidR="002E0137" w:rsidRPr="0033605D">
        <w:rPr>
          <w:rFonts w:ascii="Verdana" w:hAnsi="Verdana"/>
          <w:sz w:val="20"/>
          <w:szCs w:val="20"/>
          <w:lang w:val="es-ES"/>
        </w:rPr>
        <w:t xml:space="preserve">nefasto al diluir la protección especial que </w:t>
      </w:r>
      <w:r w:rsidR="00376DF3" w:rsidRPr="0033605D">
        <w:rPr>
          <w:rFonts w:ascii="Verdana" w:hAnsi="Verdana"/>
          <w:sz w:val="20"/>
          <w:szCs w:val="20"/>
          <w:lang w:val="es-ES"/>
        </w:rPr>
        <w:t xml:space="preserve">el Tribunal </w:t>
      </w:r>
      <w:r w:rsidR="002E0137" w:rsidRPr="0033605D">
        <w:rPr>
          <w:rFonts w:ascii="Verdana" w:hAnsi="Verdana"/>
          <w:sz w:val="20"/>
          <w:szCs w:val="20"/>
          <w:lang w:val="es-ES"/>
        </w:rPr>
        <w:t xml:space="preserve">ha otorgado a las mujeres. </w:t>
      </w:r>
      <w:r w:rsidR="004B27B7" w:rsidRPr="0033605D">
        <w:rPr>
          <w:rFonts w:ascii="Verdana" w:hAnsi="Verdana"/>
          <w:sz w:val="20"/>
          <w:szCs w:val="20"/>
          <w:lang w:val="es-ES"/>
        </w:rPr>
        <w:t>Una decisión que contrasta</w:t>
      </w:r>
      <w:r w:rsidR="00407504" w:rsidRPr="0033605D">
        <w:rPr>
          <w:rFonts w:ascii="Verdana" w:hAnsi="Verdana"/>
          <w:sz w:val="20"/>
          <w:szCs w:val="20"/>
          <w:lang w:val="es-ES"/>
        </w:rPr>
        <w:t xml:space="preserve"> su lógica expansiva</w:t>
      </w:r>
      <w:r w:rsidR="00F11E38" w:rsidRPr="0033605D">
        <w:rPr>
          <w:rFonts w:ascii="Verdana" w:hAnsi="Verdana"/>
          <w:sz w:val="20"/>
          <w:szCs w:val="20"/>
          <w:lang w:val="es-ES"/>
        </w:rPr>
        <w:t>, de ampliación de la competencia tanto en materia temporal como sustancial</w:t>
      </w:r>
      <w:r w:rsidR="00F11E38" w:rsidRPr="0033605D">
        <w:rPr>
          <w:rStyle w:val="Refdenotaalpie"/>
          <w:rFonts w:ascii="Verdana" w:hAnsi="Verdana"/>
          <w:sz w:val="20"/>
          <w:szCs w:val="20"/>
          <w:lang w:val="es-ES"/>
        </w:rPr>
        <w:footnoteReference w:id="47"/>
      </w:r>
      <w:r w:rsidR="00F11E38" w:rsidRPr="0033605D">
        <w:rPr>
          <w:rFonts w:ascii="Verdana" w:hAnsi="Verdana"/>
          <w:sz w:val="20"/>
          <w:szCs w:val="20"/>
          <w:lang w:val="es-ES"/>
        </w:rPr>
        <w:t xml:space="preserve">. </w:t>
      </w:r>
    </w:p>
    <w:p w14:paraId="6CAF06F8" w14:textId="755B6D80" w:rsidR="00103C48" w:rsidRPr="0033605D" w:rsidRDefault="00103C48" w:rsidP="00DA5555">
      <w:pPr>
        <w:pStyle w:val="Ttulo1"/>
      </w:pPr>
      <w:r w:rsidRPr="0033605D">
        <w:t>La criminalización de</w:t>
      </w:r>
      <w:r w:rsidR="00932440" w:rsidRPr="0033605D">
        <w:t xml:space="preserve"> la interrupción voluntaria del embarazo </w:t>
      </w:r>
      <w:r w:rsidRPr="0033605D">
        <w:t>en casos de peligro para la madre y el uso de protocolos médicos en El Salvador</w:t>
      </w:r>
    </w:p>
    <w:p w14:paraId="27201EE2" w14:textId="312969E7" w:rsidR="003B2D32" w:rsidRPr="0033605D" w:rsidRDefault="007C004A"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Desde </w:t>
      </w:r>
      <w:r w:rsidR="00E302CF" w:rsidRPr="0033605D">
        <w:rPr>
          <w:rFonts w:ascii="Verdana" w:hAnsi="Verdana"/>
          <w:sz w:val="20"/>
          <w:szCs w:val="20"/>
          <w:lang w:val="es-ES"/>
        </w:rPr>
        <w:t xml:space="preserve">el </w:t>
      </w:r>
      <w:r w:rsidR="00E302CF" w:rsidRPr="0033605D">
        <w:rPr>
          <w:rFonts w:ascii="Verdana" w:hAnsi="Verdana"/>
          <w:i/>
          <w:iCs/>
          <w:sz w:val="20"/>
          <w:szCs w:val="20"/>
          <w:lang w:val="es-ES"/>
        </w:rPr>
        <w:t xml:space="preserve">caso </w:t>
      </w:r>
      <w:r w:rsidRPr="0033605D">
        <w:rPr>
          <w:rFonts w:ascii="Verdana" w:hAnsi="Verdana"/>
          <w:i/>
          <w:iCs/>
          <w:sz w:val="20"/>
          <w:szCs w:val="20"/>
          <w:lang w:val="es-ES"/>
        </w:rPr>
        <w:t>Artavia</w:t>
      </w:r>
      <w:r w:rsidR="00E302CF" w:rsidRPr="0033605D">
        <w:rPr>
          <w:rFonts w:ascii="Verdana" w:hAnsi="Verdana"/>
          <w:i/>
          <w:iCs/>
          <w:sz w:val="20"/>
          <w:szCs w:val="20"/>
          <w:lang w:val="es-ES"/>
        </w:rPr>
        <w:t xml:space="preserve"> Murillo </w:t>
      </w:r>
      <w:r w:rsidR="000D416F" w:rsidRPr="0033605D">
        <w:rPr>
          <w:rFonts w:ascii="Verdana" w:hAnsi="Verdana"/>
          <w:i/>
          <w:iCs/>
          <w:sz w:val="20"/>
          <w:szCs w:val="20"/>
          <w:lang w:val="es-ES"/>
        </w:rPr>
        <w:t>Vs</w:t>
      </w:r>
      <w:r w:rsidR="00E302CF" w:rsidRPr="0033605D">
        <w:rPr>
          <w:rFonts w:ascii="Verdana" w:hAnsi="Verdana"/>
          <w:i/>
          <w:iCs/>
          <w:sz w:val="20"/>
          <w:szCs w:val="20"/>
          <w:lang w:val="es-ES"/>
        </w:rPr>
        <w:t>. Costa Rica</w:t>
      </w:r>
      <w:r w:rsidR="00E302CF" w:rsidRPr="0033605D">
        <w:rPr>
          <w:rFonts w:ascii="Verdana" w:hAnsi="Verdana"/>
          <w:sz w:val="20"/>
          <w:szCs w:val="20"/>
          <w:lang w:val="es-ES"/>
        </w:rPr>
        <w:t>,</w:t>
      </w:r>
      <w:r w:rsidRPr="0033605D">
        <w:rPr>
          <w:rFonts w:ascii="Verdana" w:hAnsi="Verdana"/>
          <w:sz w:val="20"/>
          <w:szCs w:val="20"/>
          <w:lang w:val="es-ES"/>
        </w:rPr>
        <w:t xml:space="preserve"> la </w:t>
      </w:r>
      <w:r w:rsidR="00A36A11" w:rsidRPr="0033605D">
        <w:rPr>
          <w:rFonts w:ascii="Verdana" w:hAnsi="Verdana"/>
          <w:sz w:val="20"/>
          <w:szCs w:val="20"/>
          <w:lang w:val="es-ES"/>
        </w:rPr>
        <w:t xml:space="preserve">Corte </w:t>
      </w:r>
      <w:r w:rsidR="000801B2" w:rsidRPr="0033605D">
        <w:rPr>
          <w:rFonts w:ascii="Verdana" w:hAnsi="Verdana"/>
          <w:sz w:val="20"/>
          <w:szCs w:val="20"/>
          <w:lang w:val="es-ES"/>
        </w:rPr>
        <w:t xml:space="preserve">ha sostenido </w:t>
      </w:r>
      <w:r w:rsidR="00A0621F" w:rsidRPr="0033605D">
        <w:rPr>
          <w:rFonts w:ascii="Verdana" w:hAnsi="Verdana"/>
          <w:sz w:val="20"/>
          <w:szCs w:val="20"/>
          <w:lang w:val="es-ES"/>
        </w:rPr>
        <w:t>que,</w:t>
      </w:r>
      <w:r w:rsidR="000801B2" w:rsidRPr="0033605D">
        <w:rPr>
          <w:rFonts w:ascii="Verdana" w:hAnsi="Verdana"/>
          <w:sz w:val="20"/>
          <w:szCs w:val="20"/>
          <w:lang w:val="es-ES"/>
        </w:rPr>
        <w:t xml:space="preserve"> </w:t>
      </w:r>
      <w:r w:rsidR="00A0621F" w:rsidRPr="0033605D">
        <w:rPr>
          <w:rFonts w:ascii="Verdana" w:hAnsi="Verdana"/>
          <w:sz w:val="20"/>
          <w:szCs w:val="20"/>
          <w:lang w:val="es-ES"/>
        </w:rPr>
        <w:t xml:space="preserve">en el marco de la Convención Americana, </w:t>
      </w:r>
      <w:r w:rsidRPr="0033605D">
        <w:rPr>
          <w:rFonts w:ascii="Verdana" w:hAnsi="Verdana"/>
          <w:sz w:val="20"/>
          <w:szCs w:val="20"/>
          <w:lang w:val="es-ES"/>
        </w:rPr>
        <w:t>la protección de la vida</w:t>
      </w:r>
      <w:r w:rsidR="000801B2" w:rsidRPr="0033605D">
        <w:rPr>
          <w:rFonts w:ascii="Verdana" w:hAnsi="Verdana"/>
          <w:sz w:val="20"/>
          <w:szCs w:val="20"/>
          <w:lang w:val="es-ES"/>
        </w:rPr>
        <w:t xml:space="preserve"> </w:t>
      </w:r>
      <w:r w:rsidRPr="0033605D">
        <w:rPr>
          <w:rFonts w:ascii="Verdana" w:hAnsi="Verdana"/>
          <w:sz w:val="20"/>
          <w:szCs w:val="20"/>
          <w:lang w:val="es-ES"/>
        </w:rPr>
        <w:t xml:space="preserve">desde la </w:t>
      </w:r>
      <w:r w:rsidR="00A0621F" w:rsidRPr="0033605D">
        <w:rPr>
          <w:rFonts w:ascii="Verdana" w:hAnsi="Verdana"/>
          <w:sz w:val="20"/>
          <w:szCs w:val="20"/>
          <w:lang w:val="es-ES"/>
        </w:rPr>
        <w:t>concepción</w:t>
      </w:r>
      <w:r w:rsidRPr="0033605D">
        <w:rPr>
          <w:rFonts w:ascii="Verdana" w:hAnsi="Verdana"/>
          <w:sz w:val="20"/>
          <w:szCs w:val="20"/>
          <w:lang w:val="es-ES"/>
        </w:rPr>
        <w:t xml:space="preserve"> no puede ser absoluta, admite excepciones y, en todo caso, debe ser gradual e incremental</w:t>
      </w:r>
      <w:r w:rsidRPr="0033605D">
        <w:rPr>
          <w:rStyle w:val="Refdenotaalpie"/>
          <w:rFonts w:ascii="Verdana" w:hAnsi="Verdana"/>
          <w:sz w:val="20"/>
          <w:szCs w:val="20"/>
          <w:lang w:val="es-ES"/>
        </w:rPr>
        <w:footnoteReference w:id="48"/>
      </w:r>
      <w:r w:rsidRPr="0033605D">
        <w:rPr>
          <w:rFonts w:ascii="Verdana" w:hAnsi="Verdana"/>
          <w:sz w:val="20"/>
          <w:szCs w:val="20"/>
          <w:lang w:val="es-ES"/>
        </w:rPr>
        <w:t>.</w:t>
      </w:r>
      <w:r w:rsidR="00A0621F" w:rsidRPr="0033605D">
        <w:rPr>
          <w:rFonts w:ascii="Verdana" w:hAnsi="Verdana"/>
          <w:sz w:val="20"/>
          <w:szCs w:val="20"/>
          <w:lang w:val="es-ES"/>
        </w:rPr>
        <w:t xml:space="preserve"> </w:t>
      </w:r>
      <w:r w:rsidR="00314E02" w:rsidRPr="0033605D">
        <w:rPr>
          <w:rFonts w:ascii="Verdana" w:hAnsi="Verdana"/>
          <w:sz w:val="20"/>
          <w:szCs w:val="20"/>
          <w:lang w:val="es-ES"/>
        </w:rPr>
        <w:t>Concretamente el Tribunal ha indicado que “</w:t>
      </w:r>
      <w:r w:rsidR="00071CBB" w:rsidRPr="0033605D">
        <w:rPr>
          <w:rFonts w:ascii="Verdana" w:hAnsi="Verdana"/>
          <w:sz w:val="20"/>
          <w:szCs w:val="20"/>
          <w:lang w:val="es-ES"/>
        </w:rPr>
        <w:t>[l]a Corte ha utilizado los diversos métodos de interpretación, los cuales han llevado a resultados coincidentes en el sentido de que el embrión no puede ser entendido como persona para efectos del artículo 4.1 de la Convención Americana.  Asimismo, luego de un análisis de las bases científicas disponibles, la Corte concluyó que la “concepción” en el sentido del artículo 4.1 tiene lugar desde el momento en que el embrión se implanta en el útero, razón por la cual antes de este evento no habría lugar a la aplicación del artículo 4 de la Convención. Además, es posible concluir de las palabras “en general” que la protección del derecho a la vida con arreglo a dicha disposición no es absoluta, sino es gradual e incremental según su desarrollo, debido a que no constituye un deber absoluto e incondicional, sino que implica entender la procedencia de excepciones a la regla general</w:t>
      </w:r>
      <w:r w:rsidR="00314E02" w:rsidRPr="0033605D">
        <w:rPr>
          <w:rFonts w:ascii="Verdana" w:hAnsi="Verdana"/>
          <w:sz w:val="20"/>
          <w:szCs w:val="20"/>
          <w:lang w:val="es-ES"/>
        </w:rPr>
        <w:t>”</w:t>
      </w:r>
      <w:r w:rsidR="00071CBB" w:rsidRPr="0033605D">
        <w:rPr>
          <w:rStyle w:val="Refdenotaalpie"/>
          <w:rFonts w:ascii="Verdana" w:hAnsi="Verdana"/>
          <w:sz w:val="20"/>
          <w:szCs w:val="20"/>
          <w:lang w:val="es-ES"/>
        </w:rPr>
        <w:footnoteReference w:id="49"/>
      </w:r>
      <w:r w:rsidR="00071CBB" w:rsidRPr="0033605D">
        <w:rPr>
          <w:rFonts w:ascii="Verdana" w:hAnsi="Verdana"/>
          <w:sz w:val="20"/>
          <w:szCs w:val="20"/>
          <w:lang w:val="es-ES"/>
        </w:rPr>
        <w:t>.</w:t>
      </w:r>
      <w:r w:rsidR="00677C5A" w:rsidRPr="0033605D">
        <w:rPr>
          <w:rFonts w:ascii="Verdana" w:hAnsi="Verdana"/>
          <w:sz w:val="20"/>
          <w:szCs w:val="20"/>
          <w:lang w:val="es-ES"/>
        </w:rPr>
        <w:t xml:space="preserve"> Creo que</w:t>
      </w:r>
      <w:r w:rsidR="00151E09" w:rsidRPr="0033605D">
        <w:rPr>
          <w:rFonts w:ascii="Verdana" w:hAnsi="Verdana"/>
          <w:sz w:val="20"/>
          <w:szCs w:val="20"/>
          <w:lang w:val="es-ES"/>
        </w:rPr>
        <w:t>,</w:t>
      </w:r>
      <w:r w:rsidR="00677C5A" w:rsidRPr="0033605D">
        <w:rPr>
          <w:rFonts w:ascii="Verdana" w:hAnsi="Verdana"/>
          <w:sz w:val="20"/>
          <w:szCs w:val="20"/>
          <w:lang w:val="es-ES"/>
        </w:rPr>
        <w:t xml:space="preserve"> de esta interpretación</w:t>
      </w:r>
      <w:r w:rsidR="002741D1" w:rsidRPr="0033605D">
        <w:rPr>
          <w:rFonts w:ascii="Verdana" w:hAnsi="Verdana"/>
          <w:sz w:val="20"/>
          <w:szCs w:val="20"/>
          <w:lang w:val="es-ES"/>
        </w:rPr>
        <w:t xml:space="preserve"> del derecho a la vida</w:t>
      </w:r>
      <w:r w:rsidR="00677C5A" w:rsidRPr="0033605D">
        <w:rPr>
          <w:rFonts w:ascii="Verdana" w:hAnsi="Verdana"/>
          <w:sz w:val="20"/>
          <w:szCs w:val="20"/>
          <w:lang w:val="es-ES"/>
        </w:rPr>
        <w:t xml:space="preserve">, </w:t>
      </w:r>
      <w:r w:rsidR="002741D1" w:rsidRPr="0033605D">
        <w:rPr>
          <w:rFonts w:ascii="Verdana" w:hAnsi="Verdana"/>
          <w:sz w:val="20"/>
          <w:szCs w:val="20"/>
          <w:lang w:val="es-ES"/>
        </w:rPr>
        <w:t xml:space="preserve">en conjunto con </w:t>
      </w:r>
      <w:r w:rsidR="007C3BAB" w:rsidRPr="0033605D">
        <w:rPr>
          <w:rFonts w:ascii="Verdana" w:hAnsi="Verdana"/>
          <w:sz w:val="20"/>
          <w:szCs w:val="20"/>
          <w:lang w:val="es-ES"/>
        </w:rPr>
        <w:t>los derechos</w:t>
      </w:r>
      <w:r w:rsidR="00E35296" w:rsidRPr="0033605D">
        <w:rPr>
          <w:rFonts w:ascii="Verdana" w:hAnsi="Verdana"/>
          <w:sz w:val="20"/>
          <w:szCs w:val="20"/>
          <w:lang w:val="es-ES"/>
        </w:rPr>
        <w:t xml:space="preserve"> a la integridad personal, a la libertad</w:t>
      </w:r>
      <w:r w:rsidR="00464B91" w:rsidRPr="0033605D">
        <w:rPr>
          <w:rFonts w:ascii="Verdana" w:hAnsi="Verdana"/>
          <w:sz w:val="20"/>
          <w:szCs w:val="20"/>
          <w:lang w:val="es-ES"/>
        </w:rPr>
        <w:t>, a la vida privada</w:t>
      </w:r>
      <w:r w:rsidR="00E35296" w:rsidRPr="0033605D">
        <w:rPr>
          <w:rFonts w:ascii="Verdana" w:hAnsi="Verdana"/>
          <w:sz w:val="20"/>
          <w:szCs w:val="20"/>
          <w:lang w:val="es-ES"/>
        </w:rPr>
        <w:t xml:space="preserve"> y, en </w:t>
      </w:r>
      <w:r w:rsidR="00151E09" w:rsidRPr="0033605D">
        <w:rPr>
          <w:rFonts w:ascii="Verdana" w:hAnsi="Verdana"/>
          <w:sz w:val="20"/>
          <w:szCs w:val="20"/>
          <w:lang w:val="es-ES"/>
        </w:rPr>
        <w:t>definitiva,</w:t>
      </w:r>
      <w:r w:rsidR="00E35296" w:rsidRPr="0033605D">
        <w:rPr>
          <w:rFonts w:ascii="Verdana" w:hAnsi="Verdana"/>
          <w:sz w:val="20"/>
          <w:szCs w:val="20"/>
          <w:lang w:val="es-ES"/>
        </w:rPr>
        <w:t xml:space="preserve"> </w:t>
      </w:r>
      <w:r w:rsidR="00151E09" w:rsidRPr="0033605D">
        <w:rPr>
          <w:rFonts w:ascii="Verdana" w:hAnsi="Verdana"/>
          <w:sz w:val="20"/>
          <w:szCs w:val="20"/>
          <w:lang w:val="es-ES"/>
        </w:rPr>
        <w:t xml:space="preserve">como </w:t>
      </w:r>
      <w:r w:rsidR="00151E09" w:rsidRPr="0033605D">
        <w:rPr>
          <w:rFonts w:ascii="Verdana" w:hAnsi="Verdana"/>
          <w:sz w:val="20"/>
          <w:szCs w:val="20"/>
          <w:lang w:val="es-ES"/>
        </w:rPr>
        <w:lastRenderedPageBreak/>
        <w:t xml:space="preserve">máxima de protección de la dignidad humana, </w:t>
      </w:r>
      <w:r w:rsidR="002741D1" w:rsidRPr="0033605D">
        <w:rPr>
          <w:rFonts w:ascii="Verdana" w:hAnsi="Verdana"/>
          <w:sz w:val="20"/>
          <w:szCs w:val="20"/>
          <w:lang w:val="es-ES"/>
        </w:rPr>
        <w:t xml:space="preserve">se deriva que </w:t>
      </w:r>
      <w:r w:rsidR="00246F5D" w:rsidRPr="0033605D">
        <w:rPr>
          <w:rFonts w:ascii="Verdana" w:hAnsi="Verdana"/>
          <w:sz w:val="20"/>
          <w:szCs w:val="20"/>
          <w:lang w:val="es-ES"/>
        </w:rPr>
        <w:t xml:space="preserve">nadie </w:t>
      </w:r>
      <w:r w:rsidR="002741D1" w:rsidRPr="0033605D">
        <w:rPr>
          <w:rFonts w:ascii="Verdana" w:hAnsi="Verdana"/>
          <w:sz w:val="20"/>
          <w:szCs w:val="20"/>
          <w:lang w:val="es-ES"/>
        </w:rPr>
        <w:t xml:space="preserve">puede ser obligado a </w:t>
      </w:r>
      <w:r w:rsidR="00246F5D" w:rsidRPr="0033605D">
        <w:rPr>
          <w:rFonts w:ascii="Verdana" w:hAnsi="Verdana"/>
          <w:sz w:val="20"/>
          <w:szCs w:val="20"/>
          <w:lang w:val="es-ES"/>
        </w:rPr>
        <w:t xml:space="preserve">privilegiar </w:t>
      </w:r>
      <w:r w:rsidR="002741D1" w:rsidRPr="0033605D">
        <w:rPr>
          <w:rFonts w:ascii="Verdana" w:hAnsi="Verdana"/>
          <w:sz w:val="20"/>
          <w:szCs w:val="20"/>
          <w:lang w:val="es-ES"/>
        </w:rPr>
        <w:t>la vida de otro</w:t>
      </w:r>
      <w:r w:rsidR="00246F5D" w:rsidRPr="0033605D">
        <w:rPr>
          <w:rFonts w:ascii="Verdana" w:hAnsi="Verdana"/>
          <w:sz w:val="20"/>
          <w:szCs w:val="20"/>
          <w:lang w:val="es-ES"/>
        </w:rPr>
        <w:t xml:space="preserve"> </w:t>
      </w:r>
      <w:r w:rsidR="002741D1" w:rsidRPr="0033605D">
        <w:rPr>
          <w:rFonts w:ascii="Verdana" w:hAnsi="Verdana"/>
          <w:sz w:val="20"/>
          <w:szCs w:val="20"/>
          <w:lang w:val="es-ES"/>
        </w:rPr>
        <w:t>por sobre la propia</w:t>
      </w:r>
      <w:r w:rsidR="00151E09" w:rsidRPr="0033605D">
        <w:rPr>
          <w:rFonts w:ascii="Verdana" w:hAnsi="Verdana"/>
          <w:sz w:val="20"/>
          <w:szCs w:val="20"/>
          <w:lang w:val="es-ES"/>
        </w:rPr>
        <w:t>.</w:t>
      </w:r>
      <w:r w:rsidR="007C3BAB" w:rsidRPr="0033605D">
        <w:rPr>
          <w:rFonts w:ascii="Verdana" w:hAnsi="Verdana"/>
          <w:sz w:val="20"/>
          <w:szCs w:val="20"/>
          <w:lang w:val="es-ES"/>
        </w:rPr>
        <w:t xml:space="preserve"> Esto incluye, a las mujeres en estado de embarazo que se encuentran en riesgo por causa de este. </w:t>
      </w:r>
      <w:r w:rsidR="00151E09" w:rsidRPr="0033605D">
        <w:rPr>
          <w:rFonts w:ascii="Verdana" w:hAnsi="Verdana"/>
          <w:sz w:val="20"/>
          <w:szCs w:val="20"/>
          <w:lang w:val="es-ES"/>
        </w:rPr>
        <w:t xml:space="preserve"> </w:t>
      </w:r>
    </w:p>
    <w:p w14:paraId="00A25AFB" w14:textId="29FFBC6B" w:rsidR="00376DF3" w:rsidRPr="0033605D" w:rsidRDefault="003B2D32" w:rsidP="00376DF3">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la sentencia, la Corte sostuvo que </w:t>
      </w:r>
      <w:r w:rsidR="00491A23" w:rsidRPr="0033605D">
        <w:rPr>
          <w:rFonts w:ascii="Verdana" w:hAnsi="Verdana"/>
          <w:sz w:val="20"/>
          <w:szCs w:val="20"/>
          <w:lang w:val="es-ES"/>
        </w:rPr>
        <w:t>“[</w:t>
      </w:r>
      <w:r w:rsidR="00A36A11" w:rsidRPr="0033605D">
        <w:rPr>
          <w:rFonts w:ascii="Verdana" w:hAnsi="Verdana"/>
          <w:sz w:val="20"/>
          <w:szCs w:val="20"/>
          <w:lang w:val="es-ES"/>
        </w:rPr>
        <w:t>l</w:t>
      </w:r>
      <w:r w:rsidR="00491A23" w:rsidRPr="0033605D">
        <w:rPr>
          <w:rFonts w:ascii="Verdana" w:hAnsi="Verdana"/>
          <w:sz w:val="20"/>
          <w:szCs w:val="20"/>
          <w:lang w:val="es-ES"/>
        </w:rPr>
        <w:t>]a inseguridad jurídica inhibió la actuación del personal de salud, ya que tenían temor a incurrir en responsabilidad penal, por lo que recurrieron a diferentes entidades para obtener su autorización. Por su parte, los representantes de Beatriz debieron presentar un recurso de amparo con la misma finalidad. Sin embargo, esta burocratización y judicialización infructífera del tratamiento médico a dispensar</w:t>
      </w:r>
      <w:r w:rsidR="002346A0">
        <w:rPr>
          <w:rFonts w:ascii="Verdana" w:hAnsi="Verdana"/>
          <w:sz w:val="20"/>
          <w:szCs w:val="20"/>
          <w:lang w:val="es-ES"/>
        </w:rPr>
        <w:t xml:space="preserve"> […]</w:t>
      </w:r>
      <w:r w:rsidR="00491A23" w:rsidRPr="0033605D">
        <w:rPr>
          <w:rFonts w:ascii="Verdana" w:hAnsi="Verdana"/>
          <w:sz w:val="20"/>
          <w:szCs w:val="20"/>
          <w:lang w:val="es-ES"/>
        </w:rPr>
        <w:t>, lejos de tener efecto útil, obstaculizó la adecuada y oportuna protección a los derechos a la integridad y a la salud de Beatriz, lo que implicó una violación del artículo 2 de la Convención</w:t>
      </w:r>
      <w:r w:rsidR="000C75E6" w:rsidRPr="0033605D">
        <w:rPr>
          <w:rFonts w:ascii="Verdana" w:hAnsi="Verdana"/>
          <w:sz w:val="20"/>
          <w:szCs w:val="20"/>
          <w:lang w:val="es-ES"/>
        </w:rPr>
        <w:t>” (párrafo 1</w:t>
      </w:r>
      <w:r w:rsidR="00491A23" w:rsidRPr="0033605D">
        <w:rPr>
          <w:rFonts w:ascii="Verdana" w:hAnsi="Verdana"/>
          <w:sz w:val="20"/>
          <w:szCs w:val="20"/>
          <w:lang w:val="es-ES"/>
        </w:rPr>
        <w:t>5</w:t>
      </w:r>
      <w:r w:rsidR="002346A0">
        <w:rPr>
          <w:rFonts w:ascii="Verdana" w:hAnsi="Verdana"/>
          <w:sz w:val="20"/>
          <w:szCs w:val="20"/>
          <w:lang w:val="es-ES"/>
        </w:rPr>
        <w:t>4</w:t>
      </w:r>
      <w:r w:rsidR="000C75E6" w:rsidRPr="0033605D">
        <w:rPr>
          <w:rFonts w:ascii="Verdana" w:hAnsi="Verdana"/>
          <w:sz w:val="20"/>
          <w:szCs w:val="20"/>
          <w:lang w:val="es-ES"/>
        </w:rPr>
        <w:t>).</w:t>
      </w:r>
      <w:r w:rsidR="00546EC7" w:rsidRPr="0033605D">
        <w:rPr>
          <w:rFonts w:ascii="Verdana" w:hAnsi="Verdana"/>
          <w:sz w:val="20"/>
          <w:szCs w:val="20"/>
          <w:lang w:val="es-ES"/>
        </w:rPr>
        <w:t xml:space="preserve"> </w:t>
      </w:r>
      <w:r w:rsidR="00F16869" w:rsidRPr="0033605D">
        <w:rPr>
          <w:rFonts w:ascii="Verdana" w:hAnsi="Verdana"/>
          <w:sz w:val="20"/>
          <w:szCs w:val="20"/>
          <w:lang w:val="es-ES"/>
        </w:rPr>
        <w:t>En últimas la Corte</w:t>
      </w:r>
      <w:r w:rsidR="006E60B3" w:rsidRPr="0033605D">
        <w:rPr>
          <w:rFonts w:ascii="Verdana" w:hAnsi="Verdana"/>
          <w:sz w:val="20"/>
          <w:szCs w:val="20"/>
          <w:lang w:val="es-ES"/>
        </w:rPr>
        <w:t>,</w:t>
      </w:r>
      <w:r w:rsidR="00A32EE4" w:rsidRPr="0033605D">
        <w:rPr>
          <w:rFonts w:ascii="Verdana" w:hAnsi="Verdana"/>
          <w:sz w:val="20"/>
          <w:szCs w:val="20"/>
          <w:lang w:val="es-ES"/>
        </w:rPr>
        <w:t xml:space="preserve"> </w:t>
      </w:r>
      <w:r w:rsidR="00F16869" w:rsidRPr="0033605D">
        <w:rPr>
          <w:rFonts w:ascii="Verdana" w:hAnsi="Verdana"/>
          <w:sz w:val="20"/>
          <w:szCs w:val="20"/>
          <w:lang w:val="es-ES"/>
        </w:rPr>
        <w:t xml:space="preserve">concluyó que </w:t>
      </w:r>
      <w:r w:rsidR="00846F05" w:rsidRPr="0033605D">
        <w:rPr>
          <w:rFonts w:ascii="Verdana" w:hAnsi="Verdana"/>
          <w:sz w:val="20"/>
          <w:szCs w:val="20"/>
          <w:lang w:val="es-ES"/>
        </w:rPr>
        <w:t>la falta de</w:t>
      </w:r>
      <w:r w:rsidR="00A32EE4" w:rsidRPr="0033605D">
        <w:rPr>
          <w:rFonts w:ascii="Verdana" w:hAnsi="Verdana"/>
          <w:sz w:val="20"/>
          <w:szCs w:val="20"/>
          <w:lang w:val="es-ES"/>
        </w:rPr>
        <w:t xml:space="preserve"> protocolos claros de actuación para </w:t>
      </w:r>
      <w:r w:rsidR="00A36A11" w:rsidRPr="0033605D">
        <w:rPr>
          <w:rFonts w:ascii="Verdana" w:hAnsi="Verdana"/>
          <w:sz w:val="20"/>
          <w:szCs w:val="20"/>
          <w:lang w:val="es-ES"/>
        </w:rPr>
        <w:t xml:space="preserve">un caso como el de </w:t>
      </w:r>
      <w:r w:rsidR="00846F05" w:rsidRPr="0033605D">
        <w:rPr>
          <w:rFonts w:ascii="Verdana" w:hAnsi="Verdana"/>
          <w:sz w:val="20"/>
          <w:szCs w:val="20"/>
          <w:lang w:val="es-ES"/>
        </w:rPr>
        <w:t xml:space="preserve">Beatriz </w:t>
      </w:r>
      <w:r w:rsidR="00392BAD" w:rsidRPr="0033605D">
        <w:rPr>
          <w:rFonts w:ascii="Verdana" w:hAnsi="Verdana"/>
          <w:sz w:val="20"/>
          <w:szCs w:val="20"/>
          <w:lang w:val="es-ES"/>
        </w:rPr>
        <w:t xml:space="preserve">fue la causa de la vulneración de sus derechos a la salud y a la integridad </w:t>
      </w:r>
      <w:r w:rsidR="00A32EE4" w:rsidRPr="0033605D">
        <w:rPr>
          <w:rFonts w:ascii="Verdana" w:hAnsi="Verdana"/>
          <w:sz w:val="20"/>
          <w:szCs w:val="20"/>
          <w:lang w:val="es-ES"/>
        </w:rPr>
        <w:t>(párrafo 1</w:t>
      </w:r>
      <w:r w:rsidR="00DC2171" w:rsidRPr="0033605D">
        <w:rPr>
          <w:rFonts w:ascii="Verdana" w:hAnsi="Verdana"/>
          <w:sz w:val="20"/>
          <w:szCs w:val="20"/>
          <w:lang w:val="es-ES"/>
        </w:rPr>
        <w:t>5</w:t>
      </w:r>
      <w:r w:rsidR="002346A0">
        <w:rPr>
          <w:rFonts w:ascii="Verdana" w:hAnsi="Verdana"/>
          <w:sz w:val="20"/>
          <w:szCs w:val="20"/>
          <w:lang w:val="es-ES"/>
        </w:rPr>
        <w:t>5</w:t>
      </w:r>
      <w:r w:rsidR="00A32EE4" w:rsidRPr="0033605D">
        <w:rPr>
          <w:rFonts w:ascii="Verdana" w:hAnsi="Verdana"/>
          <w:sz w:val="20"/>
          <w:szCs w:val="20"/>
          <w:lang w:val="es-ES"/>
        </w:rPr>
        <w:t>)</w:t>
      </w:r>
      <w:r w:rsidR="005B73DA" w:rsidRPr="0033605D">
        <w:rPr>
          <w:rFonts w:ascii="Verdana" w:hAnsi="Verdana"/>
          <w:sz w:val="20"/>
          <w:szCs w:val="20"/>
          <w:lang w:val="es-ES"/>
        </w:rPr>
        <w:t xml:space="preserve">. </w:t>
      </w:r>
      <w:r w:rsidR="00304467" w:rsidRPr="0033605D">
        <w:rPr>
          <w:rFonts w:ascii="Verdana" w:hAnsi="Verdana"/>
          <w:sz w:val="20"/>
          <w:szCs w:val="20"/>
          <w:lang w:val="es-ES"/>
        </w:rPr>
        <w:t xml:space="preserve">Creo que este análisis, desconoció que </w:t>
      </w:r>
      <w:r w:rsidR="00627BB2" w:rsidRPr="0033605D">
        <w:rPr>
          <w:rFonts w:ascii="Verdana" w:hAnsi="Verdana"/>
          <w:sz w:val="20"/>
          <w:szCs w:val="20"/>
          <w:lang w:val="es-ES"/>
        </w:rPr>
        <w:t xml:space="preserve">la causa de la violación de los derechos de Beatriz fue la criminalización absoluta del aborto en El Salvador, </w:t>
      </w:r>
      <w:r w:rsidR="00283617" w:rsidRPr="0033605D">
        <w:rPr>
          <w:rFonts w:ascii="Verdana" w:hAnsi="Verdana"/>
          <w:sz w:val="20"/>
          <w:szCs w:val="20"/>
          <w:lang w:val="es-ES"/>
        </w:rPr>
        <w:t xml:space="preserve">ratificada por la Sala de lo Constitucional, </w:t>
      </w:r>
      <w:r w:rsidR="00627BB2" w:rsidRPr="0033605D">
        <w:rPr>
          <w:rFonts w:ascii="Verdana" w:hAnsi="Verdana"/>
          <w:sz w:val="20"/>
          <w:szCs w:val="20"/>
          <w:lang w:val="es-ES"/>
        </w:rPr>
        <w:t xml:space="preserve">que </w:t>
      </w:r>
      <w:r w:rsidR="003F1F8B" w:rsidRPr="0033605D">
        <w:rPr>
          <w:rFonts w:ascii="Verdana" w:hAnsi="Verdana"/>
          <w:sz w:val="20"/>
          <w:szCs w:val="20"/>
          <w:lang w:val="es-ES"/>
        </w:rPr>
        <w:t>impidió que se hicieran efectivas las medidas</w:t>
      </w:r>
      <w:r w:rsidR="00627BB2" w:rsidRPr="0033605D">
        <w:rPr>
          <w:rFonts w:ascii="Verdana" w:hAnsi="Verdana"/>
          <w:sz w:val="20"/>
          <w:szCs w:val="20"/>
          <w:lang w:val="es-ES"/>
        </w:rPr>
        <w:t xml:space="preserve"> para proteger su </w:t>
      </w:r>
      <w:r w:rsidR="00376DF3" w:rsidRPr="0033605D">
        <w:rPr>
          <w:rFonts w:ascii="Verdana" w:hAnsi="Verdana"/>
          <w:sz w:val="20"/>
          <w:szCs w:val="20"/>
          <w:lang w:val="es-ES"/>
        </w:rPr>
        <w:t xml:space="preserve">autonomía, </w:t>
      </w:r>
      <w:r w:rsidR="00627BB2" w:rsidRPr="0033605D">
        <w:rPr>
          <w:rFonts w:ascii="Verdana" w:hAnsi="Verdana"/>
          <w:sz w:val="20"/>
          <w:szCs w:val="20"/>
          <w:lang w:val="es-ES"/>
        </w:rPr>
        <w:t>vida</w:t>
      </w:r>
      <w:r w:rsidR="00A36A11" w:rsidRPr="0033605D">
        <w:rPr>
          <w:rFonts w:ascii="Verdana" w:hAnsi="Verdana"/>
          <w:sz w:val="20"/>
          <w:szCs w:val="20"/>
          <w:lang w:val="es-ES"/>
        </w:rPr>
        <w:t xml:space="preserve"> e integridad personal</w:t>
      </w:r>
      <w:r w:rsidR="003F1F8B" w:rsidRPr="0033605D">
        <w:rPr>
          <w:rFonts w:ascii="Verdana" w:hAnsi="Verdana"/>
          <w:sz w:val="20"/>
          <w:szCs w:val="20"/>
          <w:lang w:val="es-ES"/>
        </w:rPr>
        <w:t xml:space="preserve">. </w:t>
      </w:r>
    </w:p>
    <w:p w14:paraId="7DE7F51F" w14:textId="77777777" w:rsidR="00227342" w:rsidRPr="0033605D" w:rsidRDefault="0073204D" w:rsidP="00376DF3">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E</w:t>
      </w:r>
      <w:r w:rsidR="00EA348D" w:rsidRPr="0033605D">
        <w:rPr>
          <w:rFonts w:ascii="Verdana" w:hAnsi="Verdana"/>
          <w:sz w:val="20"/>
          <w:szCs w:val="20"/>
          <w:lang w:val="es-ES"/>
        </w:rPr>
        <w:t xml:space="preserve">l aborto es punible en El Salvador sin excepción. </w:t>
      </w:r>
      <w:r w:rsidR="00BE316E" w:rsidRPr="0033605D">
        <w:rPr>
          <w:rFonts w:ascii="Verdana" w:hAnsi="Verdana"/>
          <w:sz w:val="20"/>
          <w:szCs w:val="20"/>
          <w:lang w:val="es-ES"/>
        </w:rPr>
        <w:t>El artículo 133 del Código Penal dispone que “</w:t>
      </w:r>
      <w:r w:rsidR="00BA6A60" w:rsidRPr="0033605D">
        <w:rPr>
          <w:rFonts w:ascii="Verdana" w:hAnsi="Verdana"/>
          <w:sz w:val="20"/>
          <w:szCs w:val="20"/>
        </w:rPr>
        <w:t>[e]l que provocare un aborto con el consentimiento de la mujer o la mujer que provocare su propio aborto o consintiere que otra persona se lo practicare, serán sancionados con prisión de dos a ocho años</w:t>
      </w:r>
      <w:r w:rsidR="00BE316E" w:rsidRPr="0033605D">
        <w:rPr>
          <w:rFonts w:ascii="Verdana" w:hAnsi="Verdana"/>
          <w:sz w:val="20"/>
          <w:szCs w:val="20"/>
          <w:lang w:val="es-ES"/>
        </w:rPr>
        <w:t>”</w:t>
      </w:r>
      <w:r w:rsidR="008A1529" w:rsidRPr="0033605D">
        <w:rPr>
          <w:rFonts w:ascii="Verdana" w:hAnsi="Verdana"/>
          <w:sz w:val="20"/>
          <w:szCs w:val="20"/>
          <w:lang w:val="es-ES"/>
        </w:rPr>
        <w:t>. Por su parte, el artículo 135 establece una sanción mayor para los médicos que incurran en esta conducta, concretamente dispone “</w:t>
      </w:r>
      <w:r w:rsidR="00A36A11" w:rsidRPr="0033605D">
        <w:rPr>
          <w:rFonts w:ascii="Verdana" w:hAnsi="Verdana"/>
          <w:sz w:val="20"/>
          <w:szCs w:val="20"/>
          <w:lang w:val="es-ES"/>
        </w:rPr>
        <w:t>[s]</w:t>
      </w:r>
      <w:r w:rsidR="00532030" w:rsidRPr="0033605D">
        <w:rPr>
          <w:rFonts w:ascii="Verdana" w:hAnsi="Verdana"/>
          <w:sz w:val="20"/>
          <w:szCs w:val="20"/>
          <w:lang w:val="es-ES"/>
        </w:rPr>
        <w:t>i el aborto fuere cometido por médico, farmacéutico o por personas que realizaren actividades auxiliares de las referidas profesiones, cuando se dedicaren a dicha práctica, será sancionado con prisión de seis a doce años. Se impondrá además la pena de inhabilitación especial para el ejercicio de la profesión o actividad por el mismo período</w:t>
      </w:r>
      <w:r w:rsidR="008A1529" w:rsidRPr="0033605D">
        <w:rPr>
          <w:rFonts w:ascii="Verdana" w:hAnsi="Verdana"/>
          <w:sz w:val="20"/>
          <w:szCs w:val="20"/>
          <w:lang w:val="es-ES"/>
        </w:rPr>
        <w:t>”</w:t>
      </w:r>
      <w:r w:rsidR="00502420" w:rsidRPr="0033605D">
        <w:rPr>
          <w:rStyle w:val="Refdenotaalpie"/>
          <w:rFonts w:ascii="Verdana" w:hAnsi="Verdana"/>
          <w:sz w:val="20"/>
          <w:szCs w:val="20"/>
          <w:lang w:val="es-ES"/>
        </w:rPr>
        <w:footnoteReference w:id="50"/>
      </w:r>
      <w:r w:rsidR="00532030" w:rsidRPr="0033605D">
        <w:rPr>
          <w:rFonts w:ascii="Verdana" w:hAnsi="Verdana"/>
          <w:sz w:val="20"/>
          <w:szCs w:val="20"/>
          <w:lang w:val="es-ES"/>
        </w:rPr>
        <w:t xml:space="preserve">. Si bien existen causales generales de exclusión de responsabilidad </w:t>
      </w:r>
      <w:r w:rsidR="004F1550" w:rsidRPr="0033605D">
        <w:rPr>
          <w:rFonts w:ascii="Verdana" w:hAnsi="Verdana"/>
          <w:sz w:val="20"/>
          <w:szCs w:val="20"/>
          <w:lang w:val="es-ES"/>
        </w:rPr>
        <w:t>(artículo 27 del Código Penal</w:t>
      </w:r>
      <w:r w:rsidR="00927D16" w:rsidRPr="0033605D">
        <w:rPr>
          <w:rStyle w:val="Refdenotaalpie"/>
          <w:rFonts w:ascii="Verdana" w:hAnsi="Verdana"/>
          <w:sz w:val="20"/>
          <w:szCs w:val="20"/>
          <w:lang w:val="es-ES"/>
        </w:rPr>
        <w:footnoteReference w:id="51"/>
      </w:r>
      <w:r w:rsidR="004F1550" w:rsidRPr="0033605D">
        <w:rPr>
          <w:rFonts w:ascii="Verdana" w:hAnsi="Verdana"/>
          <w:sz w:val="20"/>
          <w:szCs w:val="20"/>
          <w:lang w:val="es-ES"/>
        </w:rPr>
        <w:t>)</w:t>
      </w:r>
      <w:r w:rsidR="007A4A31" w:rsidRPr="0033605D">
        <w:rPr>
          <w:rFonts w:ascii="Verdana" w:hAnsi="Verdana"/>
          <w:sz w:val="20"/>
          <w:szCs w:val="20"/>
          <w:lang w:val="es-ES"/>
        </w:rPr>
        <w:t xml:space="preserve">, </w:t>
      </w:r>
      <w:r w:rsidR="00FC7F3E" w:rsidRPr="0033605D">
        <w:rPr>
          <w:rFonts w:ascii="Verdana" w:hAnsi="Verdana"/>
          <w:sz w:val="20"/>
          <w:szCs w:val="20"/>
          <w:lang w:val="es-ES"/>
        </w:rPr>
        <w:t>estas</w:t>
      </w:r>
      <w:r w:rsidR="00910961" w:rsidRPr="0033605D">
        <w:rPr>
          <w:rFonts w:ascii="Verdana" w:hAnsi="Verdana"/>
          <w:sz w:val="20"/>
          <w:szCs w:val="20"/>
          <w:lang w:val="es-ES"/>
        </w:rPr>
        <w:t xml:space="preserve"> no descartan la tipicidad de las conductas</w:t>
      </w:r>
      <w:r w:rsidR="00561E50" w:rsidRPr="0033605D">
        <w:rPr>
          <w:rFonts w:ascii="Verdana" w:hAnsi="Verdana"/>
          <w:sz w:val="20"/>
          <w:szCs w:val="20"/>
          <w:lang w:val="es-ES"/>
        </w:rPr>
        <w:t xml:space="preserve"> </w:t>
      </w:r>
      <w:r w:rsidR="00227342" w:rsidRPr="0033605D">
        <w:rPr>
          <w:rFonts w:ascii="Verdana" w:hAnsi="Verdana"/>
          <w:sz w:val="20"/>
          <w:szCs w:val="20"/>
          <w:lang w:val="es-ES"/>
        </w:rPr>
        <w:t xml:space="preserve">y por tanto no eliminan el </w:t>
      </w:r>
      <w:r w:rsidR="00561E50" w:rsidRPr="0033605D">
        <w:rPr>
          <w:rFonts w:ascii="Verdana" w:hAnsi="Verdana"/>
          <w:sz w:val="20"/>
          <w:szCs w:val="20"/>
          <w:lang w:val="es-ES"/>
        </w:rPr>
        <w:t>efecto amedrentador</w:t>
      </w:r>
      <w:r w:rsidR="00227342" w:rsidRPr="0033605D">
        <w:rPr>
          <w:rFonts w:ascii="Verdana" w:hAnsi="Verdana"/>
          <w:sz w:val="20"/>
          <w:szCs w:val="20"/>
          <w:lang w:val="es-ES"/>
        </w:rPr>
        <w:t xml:space="preserve"> del derecho penal</w:t>
      </w:r>
      <w:r w:rsidR="00487097" w:rsidRPr="0033605D">
        <w:rPr>
          <w:rFonts w:ascii="Verdana" w:hAnsi="Verdana"/>
          <w:sz w:val="20"/>
          <w:szCs w:val="20"/>
          <w:lang w:val="es-ES"/>
        </w:rPr>
        <w:t xml:space="preserve">. </w:t>
      </w:r>
    </w:p>
    <w:p w14:paraId="19330AFB" w14:textId="52EC0E0A" w:rsidR="00561E50" w:rsidRPr="0033605D" w:rsidRDefault="00376DF3" w:rsidP="00376DF3">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En este sentido,</w:t>
      </w:r>
      <w:r w:rsidR="00227342" w:rsidRPr="0033605D">
        <w:rPr>
          <w:rFonts w:ascii="Verdana" w:hAnsi="Verdana"/>
          <w:sz w:val="20"/>
          <w:szCs w:val="20"/>
          <w:lang w:val="es-ES"/>
        </w:rPr>
        <w:t xml:space="preserve"> el primer argumento que debe ser descartado es el de</w:t>
      </w:r>
      <w:r w:rsidRPr="0033605D">
        <w:rPr>
          <w:rFonts w:ascii="Verdana" w:hAnsi="Verdana"/>
          <w:sz w:val="20"/>
          <w:szCs w:val="20"/>
          <w:lang w:val="es-ES"/>
        </w:rPr>
        <w:t xml:space="preserve"> justificar</w:t>
      </w:r>
      <w:r w:rsidR="00227342" w:rsidRPr="0033605D">
        <w:rPr>
          <w:rFonts w:ascii="Verdana" w:hAnsi="Verdana"/>
          <w:sz w:val="20"/>
          <w:szCs w:val="20"/>
          <w:lang w:val="es-ES"/>
        </w:rPr>
        <w:t>,</w:t>
      </w:r>
      <w:r w:rsidRPr="0033605D">
        <w:rPr>
          <w:rFonts w:ascii="Verdana" w:hAnsi="Verdana"/>
          <w:sz w:val="20"/>
          <w:szCs w:val="20"/>
          <w:lang w:val="es-ES"/>
        </w:rPr>
        <w:t xml:space="preserve"> como pretendía hacerlo</w:t>
      </w:r>
      <w:r w:rsidR="00561E50" w:rsidRPr="0033605D">
        <w:rPr>
          <w:rFonts w:ascii="Verdana" w:hAnsi="Verdana"/>
          <w:sz w:val="20"/>
          <w:szCs w:val="20"/>
          <w:lang w:val="es-ES"/>
        </w:rPr>
        <w:t xml:space="preserve"> el Estado e implícitamente lo acepta la Corte</w:t>
      </w:r>
      <w:r w:rsidR="00227342" w:rsidRPr="0033605D">
        <w:rPr>
          <w:rFonts w:ascii="Verdana" w:hAnsi="Verdana"/>
          <w:sz w:val="20"/>
          <w:szCs w:val="20"/>
          <w:lang w:val="es-ES"/>
        </w:rPr>
        <w:t xml:space="preserve"> en la </w:t>
      </w:r>
      <w:r w:rsidR="002346A0">
        <w:rPr>
          <w:rFonts w:ascii="Verdana" w:hAnsi="Verdana"/>
          <w:sz w:val="20"/>
          <w:szCs w:val="20"/>
          <w:lang w:val="es-ES"/>
        </w:rPr>
        <w:t>S</w:t>
      </w:r>
      <w:r w:rsidR="00227342" w:rsidRPr="0033605D">
        <w:rPr>
          <w:rFonts w:ascii="Verdana" w:hAnsi="Verdana"/>
          <w:sz w:val="20"/>
          <w:szCs w:val="20"/>
          <w:lang w:val="es-ES"/>
        </w:rPr>
        <w:t>entencia</w:t>
      </w:r>
      <w:r w:rsidR="00561E50" w:rsidRPr="0033605D">
        <w:rPr>
          <w:rFonts w:ascii="Verdana" w:hAnsi="Verdana"/>
          <w:sz w:val="20"/>
          <w:szCs w:val="20"/>
          <w:lang w:val="es-ES"/>
        </w:rPr>
        <w:t>, que</w:t>
      </w:r>
      <w:r w:rsidRPr="0033605D">
        <w:rPr>
          <w:rFonts w:ascii="Verdana" w:hAnsi="Verdana"/>
          <w:sz w:val="20"/>
          <w:szCs w:val="20"/>
          <w:lang w:val="es-ES"/>
        </w:rPr>
        <w:t xml:space="preserve"> con </w:t>
      </w:r>
      <w:r w:rsidR="00561E50" w:rsidRPr="0033605D">
        <w:rPr>
          <w:rFonts w:ascii="Verdana" w:hAnsi="Verdana"/>
          <w:sz w:val="20"/>
          <w:szCs w:val="20"/>
          <w:lang w:val="es-ES"/>
        </w:rPr>
        <w:t>las figuras de la legítima defensa y el estado de necesidad, resultaba suficiente para atender casos como el de Beatriz</w:t>
      </w:r>
      <w:r w:rsidR="00227342" w:rsidRPr="0033605D">
        <w:rPr>
          <w:rFonts w:ascii="Verdana" w:hAnsi="Verdana"/>
          <w:sz w:val="20"/>
          <w:szCs w:val="20"/>
          <w:lang w:val="es-ES"/>
        </w:rPr>
        <w:t>. Esta postura,</w:t>
      </w:r>
      <w:r w:rsidR="00561E50" w:rsidRPr="0033605D">
        <w:rPr>
          <w:rFonts w:ascii="Verdana" w:hAnsi="Verdana"/>
          <w:sz w:val="20"/>
          <w:szCs w:val="20"/>
          <w:lang w:val="es-ES"/>
        </w:rPr>
        <w:t xml:space="preserve"> desconoce conceptos básicos del </w:t>
      </w:r>
      <w:r w:rsidR="00561E50" w:rsidRPr="0033605D">
        <w:rPr>
          <w:rFonts w:ascii="Verdana" w:hAnsi="Verdana"/>
          <w:sz w:val="20"/>
          <w:szCs w:val="20"/>
          <w:lang w:val="es-ES"/>
        </w:rPr>
        <w:lastRenderedPageBreak/>
        <w:t xml:space="preserve">derecho penal y </w:t>
      </w:r>
      <w:r w:rsidR="00227342" w:rsidRPr="0033605D">
        <w:rPr>
          <w:rFonts w:ascii="Verdana" w:hAnsi="Verdana"/>
          <w:sz w:val="20"/>
          <w:szCs w:val="20"/>
          <w:lang w:val="es-ES"/>
        </w:rPr>
        <w:t>la</w:t>
      </w:r>
      <w:r w:rsidR="00561E50" w:rsidRPr="0033605D">
        <w:rPr>
          <w:rFonts w:ascii="Verdana" w:hAnsi="Verdana"/>
          <w:sz w:val="20"/>
          <w:szCs w:val="20"/>
          <w:lang w:val="es-ES"/>
        </w:rPr>
        <w:t xml:space="preserve"> propia jurisprudencia</w:t>
      </w:r>
      <w:r w:rsidR="00227342" w:rsidRPr="0033605D">
        <w:rPr>
          <w:rFonts w:ascii="Verdana" w:hAnsi="Verdana"/>
          <w:sz w:val="20"/>
          <w:szCs w:val="20"/>
          <w:lang w:val="es-ES"/>
        </w:rPr>
        <w:t xml:space="preserve"> de la Corte</w:t>
      </w:r>
      <w:r w:rsidR="00561E50" w:rsidRPr="0033605D">
        <w:rPr>
          <w:rFonts w:ascii="Verdana" w:hAnsi="Verdana"/>
          <w:sz w:val="20"/>
          <w:szCs w:val="20"/>
          <w:lang w:val="es-ES"/>
        </w:rPr>
        <w:t xml:space="preserve"> sobre</w:t>
      </w:r>
      <w:r w:rsidR="00227342" w:rsidRPr="0033605D">
        <w:rPr>
          <w:rFonts w:ascii="Verdana" w:hAnsi="Verdana"/>
          <w:sz w:val="20"/>
          <w:szCs w:val="20"/>
          <w:lang w:val="es-ES"/>
        </w:rPr>
        <w:t xml:space="preserve"> el </w:t>
      </w:r>
      <w:r w:rsidR="00227342" w:rsidRPr="0033605D">
        <w:rPr>
          <w:rFonts w:ascii="Verdana" w:hAnsi="Verdana"/>
          <w:i/>
          <w:iCs/>
          <w:sz w:val="20"/>
          <w:szCs w:val="20"/>
          <w:lang w:val="es-ES"/>
        </w:rPr>
        <w:t>chilling effect</w:t>
      </w:r>
      <w:r w:rsidR="00227342" w:rsidRPr="0033605D">
        <w:rPr>
          <w:rFonts w:ascii="Verdana" w:hAnsi="Verdana"/>
          <w:sz w:val="20"/>
          <w:szCs w:val="20"/>
          <w:lang w:val="es-ES"/>
        </w:rPr>
        <w:t xml:space="preserve">. </w:t>
      </w:r>
      <w:r w:rsidR="00C97642" w:rsidRPr="0033605D">
        <w:rPr>
          <w:rFonts w:ascii="Verdana" w:hAnsi="Verdana"/>
          <w:sz w:val="20"/>
          <w:szCs w:val="20"/>
          <w:lang w:val="es-ES"/>
        </w:rPr>
        <w:t>En efecto, según la posición mayoritaria de la Corte, el uso del derecho penal para imponer responsabilidades ulteriores por afectaciones al honor se encuentra proscrito por la Convención Americana cuando las manifestaciones deshonrosas se refieran a servidores públicos en ejercicio de sus funciones, debido a su efecto amedrentador sobre el derecho a la libertad de expresión</w:t>
      </w:r>
      <w:r w:rsidR="00C97642" w:rsidRPr="0033605D">
        <w:rPr>
          <w:rStyle w:val="Refdenotaalpie"/>
          <w:rFonts w:ascii="Verdana" w:hAnsi="Verdana"/>
          <w:sz w:val="20"/>
          <w:szCs w:val="20"/>
          <w:lang w:val="es-ES"/>
        </w:rPr>
        <w:footnoteReference w:id="52"/>
      </w:r>
      <w:r w:rsidR="00C97642" w:rsidRPr="0033605D">
        <w:rPr>
          <w:rFonts w:ascii="Verdana" w:hAnsi="Verdana"/>
          <w:sz w:val="20"/>
          <w:szCs w:val="20"/>
          <w:lang w:val="es-ES"/>
        </w:rPr>
        <w:t>. Lo anterior no solo incluye la imposición de sanciones penales, sino también la apertura de procedimientos de investigación e incluso de la mera tipificación de ciertas conductas</w:t>
      </w:r>
      <w:r w:rsidR="00D469F3" w:rsidRPr="0033605D">
        <w:rPr>
          <w:rFonts w:ascii="Verdana" w:hAnsi="Verdana"/>
          <w:sz w:val="20"/>
          <w:szCs w:val="20"/>
          <w:lang w:val="es-ES"/>
        </w:rPr>
        <w:t xml:space="preserve"> como la injuria o la calumnia</w:t>
      </w:r>
      <w:r w:rsidR="00C97642" w:rsidRPr="0033605D">
        <w:rPr>
          <w:rStyle w:val="Refdenotaalpie"/>
          <w:rFonts w:ascii="Verdana" w:hAnsi="Verdana"/>
          <w:sz w:val="20"/>
          <w:szCs w:val="20"/>
          <w:lang w:val="es-ES"/>
        </w:rPr>
        <w:footnoteReference w:id="53"/>
      </w:r>
      <w:r w:rsidR="00C97642" w:rsidRPr="0033605D">
        <w:rPr>
          <w:rFonts w:ascii="Verdana" w:hAnsi="Verdana"/>
          <w:sz w:val="20"/>
          <w:szCs w:val="20"/>
          <w:lang w:val="es-ES"/>
        </w:rPr>
        <w:t>.</w:t>
      </w:r>
    </w:p>
    <w:p w14:paraId="42BA645D" w14:textId="2C5C21AB" w:rsidR="008B38FB" w:rsidRPr="0033605D" w:rsidRDefault="00561E50" w:rsidP="009C4CA0">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efecto, cuando una conducta se encuentra proscrita penalmente (conducta típica), significa </w:t>
      </w:r>
      <w:r w:rsidR="00927D16" w:rsidRPr="0033605D">
        <w:rPr>
          <w:rFonts w:ascii="Verdana" w:hAnsi="Verdana"/>
          <w:sz w:val="20"/>
          <w:szCs w:val="20"/>
          <w:lang w:val="es-ES"/>
        </w:rPr>
        <w:t>que, por vulnerar los bienes jurídicos de mayor envergadura,</w:t>
      </w:r>
      <w:r w:rsidRPr="0033605D">
        <w:rPr>
          <w:rFonts w:ascii="Verdana" w:hAnsi="Verdana"/>
          <w:sz w:val="20"/>
          <w:szCs w:val="20"/>
          <w:lang w:val="es-ES"/>
        </w:rPr>
        <w:t xml:space="preserve"> es reprochada por el Estado y como consecuencia, cuando se demuestra que una persona ha incurrido en ella, debe ser sancionad</w:t>
      </w:r>
      <w:r w:rsidR="00227342" w:rsidRPr="0033605D">
        <w:rPr>
          <w:rFonts w:ascii="Verdana" w:hAnsi="Verdana"/>
          <w:sz w:val="20"/>
          <w:szCs w:val="20"/>
          <w:lang w:val="es-ES"/>
        </w:rPr>
        <w:t>a</w:t>
      </w:r>
      <w:r w:rsidRPr="0033605D">
        <w:rPr>
          <w:rFonts w:ascii="Verdana" w:hAnsi="Verdana"/>
          <w:sz w:val="20"/>
          <w:szCs w:val="20"/>
          <w:lang w:val="es-ES"/>
        </w:rPr>
        <w:t xml:space="preserve">. No obstante, </w:t>
      </w:r>
      <w:r w:rsidR="00927D16" w:rsidRPr="0033605D">
        <w:rPr>
          <w:rFonts w:ascii="Verdana" w:hAnsi="Verdana"/>
          <w:sz w:val="20"/>
          <w:szCs w:val="20"/>
          <w:lang w:val="es-ES"/>
        </w:rPr>
        <w:t>cuando no sea</w:t>
      </w:r>
      <w:r w:rsidRPr="0033605D">
        <w:rPr>
          <w:rFonts w:ascii="Verdana" w:hAnsi="Verdana"/>
          <w:sz w:val="20"/>
          <w:szCs w:val="20"/>
          <w:lang w:val="es-ES"/>
        </w:rPr>
        <w:t xml:space="preserve"> posible exigir un comportamiento distinto de la persona que </w:t>
      </w:r>
      <w:r w:rsidR="00927D16" w:rsidRPr="0033605D">
        <w:rPr>
          <w:rFonts w:ascii="Verdana" w:hAnsi="Verdana"/>
          <w:sz w:val="20"/>
          <w:szCs w:val="20"/>
          <w:lang w:val="es-ES"/>
        </w:rPr>
        <w:t>incurrió en la conducta, el derecho penal admite que, aunque típica, la conducta no sea sancionada</w:t>
      </w:r>
      <w:r w:rsidRPr="0033605D">
        <w:rPr>
          <w:rFonts w:ascii="Verdana" w:hAnsi="Verdana"/>
          <w:sz w:val="20"/>
          <w:szCs w:val="20"/>
          <w:lang w:val="es-ES"/>
        </w:rPr>
        <w:t>. Esto ocurre en casos de leg</w:t>
      </w:r>
      <w:r w:rsidR="00927D16" w:rsidRPr="0033605D">
        <w:rPr>
          <w:rFonts w:ascii="Verdana" w:hAnsi="Verdana"/>
          <w:sz w:val="20"/>
          <w:szCs w:val="20"/>
          <w:lang w:val="es-ES"/>
        </w:rPr>
        <w:t>í</w:t>
      </w:r>
      <w:r w:rsidRPr="0033605D">
        <w:rPr>
          <w:rFonts w:ascii="Verdana" w:hAnsi="Verdana"/>
          <w:sz w:val="20"/>
          <w:szCs w:val="20"/>
          <w:lang w:val="es-ES"/>
        </w:rPr>
        <w:t xml:space="preserve">tima defensa, cuando la persona </w:t>
      </w:r>
      <w:r w:rsidR="00927D16" w:rsidRPr="0033605D">
        <w:rPr>
          <w:rFonts w:ascii="Verdana" w:hAnsi="Verdana"/>
          <w:sz w:val="20"/>
          <w:szCs w:val="20"/>
          <w:lang w:val="es-ES"/>
        </w:rPr>
        <w:t>lesiona</w:t>
      </w:r>
      <w:r w:rsidRPr="0033605D">
        <w:rPr>
          <w:rFonts w:ascii="Verdana" w:hAnsi="Verdana"/>
          <w:sz w:val="20"/>
          <w:szCs w:val="20"/>
          <w:lang w:val="es-ES"/>
        </w:rPr>
        <w:t xml:space="preserve"> los bienes jurídicos de otros </w:t>
      </w:r>
      <w:r w:rsidR="00927D16" w:rsidRPr="0033605D">
        <w:rPr>
          <w:rFonts w:ascii="Verdana" w:hAnsi="Verdana"/>
          <w:sz w:val="20"/>
          <w:szCs w:val="20"/>
          <w:lang w:val="es-ES"/>
        </w:rPr>
        <w:t>como reacción necesaria y razonable para repeler una agresión ilegítima</w:t>
      </w:r>
      <w:r w:rsidRPr="0033605D">
        <w:rPr>
          <w:rFonts w:ascii="Verdana" w:hAnsi="Verdana"/>
          <w:sz w:val="20"/>
          <w:szCs w:val="20"/>
          <w:lang w:val="es-ES"/>
        </w:rPr>
        <w:t xml:space="preserve">, o de estado de necesidad cuando </w:t>
      </w:r>
      <w:r w:rsidR="00927D16" w:rsidRPr="0033605D">
        <w:rPr>
          <w:rFonts w:ascii="Verdana" w:hAnsi="Verdana"/>
          <w:sz w:val="20"/>
          <w:szCs w:val="20"/>
          <w:lang w:val="es-ES"/>
        </w:rPr>
        <w:t xml:space="preserve">la persona incurre en una conducta típica para salvaguardar bienes jurídicos propios o ajenos ante un peligro real, actual o inminente. </w:t>
      </w:r>
      <w:r w:rsidRPr="0033605D">
        <w:rPr>
          <w:rFonts w:ascii="Verdana" w:hAnsi="Verdana"/>
          <w:sz w:val="20"/>
          <w:szCs w:val="20"/>
          <w:lang w:val="es-ES"/>
        </w:rPr>
        <w:t xml:space="preserve"> </w:t>
      </w:r>
      <w:r w:rsidR="00927D16" w:rsidRPr="0033605D">
        <w:rPr>
          <w:rFonts w:ascii="Verdana" w:hAnsi="Verdana"/>
          <w:sz w:val="20"/>
          <w:szCs w:val="20"/>
          <w:lang w:val="es-ES"/>
        </w:rPr>
        <w:t>Esto significa que, aunque presuntamente hayan actuado en legítima defensa o estado de necesidad, las personas han incurrido en conductas típicas y por tanto pueden ser procesadas. Será en el marco de la investigación</w:t>
      </w:r>
      <w:r w:rsidR="00227342" w:rsidRPr="0033605D">
        <w:rPr>
          <w:rFonts w:ascii="Verdana" w:hAnsi="Verdana"/>
          <w:sz w:val="20"/>
          <w:szCs w:val="20"/>
          <w:lang w:val="es-ES"/>
        </w:rPr>
        <w:t>,</w:t>
      </w:r>
      <w:r w:rsidR="00927D16" w:rsidRPr="0033605D">
        <w:rPr>
          <w:rFonts w:ascii="Verdana" w:hAnsi="Verdana"/>
          <w:sz w:val="20"/>
          <w:szCs w:val="20"/>
          <w:lang w:val="es-ES"/>
        </w:rPr>
        <w:t xml:space="preserve"> o en ocasiones hasta el juicio</w:t>
      </w:r>
      <w:r w:rsidR="00227342" w:rsidRPr="0033605D">
        <w:rPr>
          <w:rFonts w:ascii="Verdana" w:hAnsi="Verdana"/>
          <w:sz w:val="20"/>
          <w:szCs w:val="20"/>
          <w:lang w:val="es-ES"/>
        </w:rPr>
        <w:t>,</w:t>
      </w:r>
      <w:r w:rsidR="00927D16" w:rsidRPr="0033605D">
        <w:rPr>
          <w:rFonts w:ascii="Verdana" w:hAnsi="Verdana"/>
          <w:sz w:val="20"/>
          <w:szCs w:val="20"/>
          <w:lang w:val="es-ES"/>
        </w:rPr>
        <w:t xml:space="preserve"> que deberán demostrar el cumplimiento de los estrictos requisitos de procedencia de las causales de exclusión para evitar ser condenadas</w:t>
      </w:r>
      <w:r w:rsidR="00C97642" w:rsidRPr="0033605D">
        <w:rPr>
          <w:rFonts w:ascii="Verdana" w:hAnsi="Verdana"/>
          <w:sz w:val="20"/>
          <w:szCs w:val="20"/>
          <w:lang w:val="es-ES"/>
        </w:rPr>
        <w:t xml:space="preserve"> o para obtener una condena reducida</w:t>
      </w:r>
      <w:r w:rsidR="00927D16" w:rsidRPr="0033605D">
        <w:rPr>
          <w:rFonts w:ascii="Verdana" w:hAnsi="Verdana"/>
          <w:sz w:val="20"/>
          <w:szCs w:val="20"/>
          <w:lang w:val="es-ES"/>
        </w:rPr>
        <w:t>.</w:t>
      </w:r>
      <w:r w:rsidR="00227342" w:rsidRPr="0033605D">
        <w:rPr>
          <w:rFonts w:ascii="Verdana" w:hAnsi="Verdana"/>
          <w:sz w:val="20"/>
          <w:szCs w:val="20"/>
          <w:lang w:val="es-ES"/>
        </w:rPr>
        <w:t xml:space="preserve"> </w:t>
      </w:r>
    </w:p>
    <w:p w14:paraId="31DF7CE6" w14:textId="12C0CF03" w:rsidR="009C4CA0" w:rsidRPr="0033605D" w:rsidRDefault="001627D2" w:rsidP="00C12D62">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A la luz de las obligaciones contenidas en la Convención Americana, e</w:t>
      </w:r>
      <w:r w:rsidR="00227342" w:rsidRPr="0033605D">
        <w:rPr>
          <w:rFonts w:ascii="Verdana" w:hAnsi="Verdana"/>
          <w:sz w:val="20"/>
          <w:szCs w:val="20"/>
          <w:lang w:val="es-ES"/>
        </w:rPr>
        <w:t>s equivocado considerar que la conducta (aborto en casos de riesgo de vida de la madre o inviabilidad de la vida extrauterina del feto) puede ser típica</w:t>
      </w:r>
      <w:r w:rsidR="008B38FB" w:rsidRPr="0033605D">
        <w:rPr>
          <w:rFonts w:ascii="Verdana" w:hAnsi="Verdana"/>
          <w:sz w:val="20"/>
          <w:szCs w:val="20"/>
          <w:lang w:val="es-ES"/>
        </w:rPr>
        <w:t>. N</w:t>
      </w:r>
      <w:r w:rsidR="00227342" w:rsidRPr="0033605D">
        <w:rPr>
          <w:rFonts w:ascii="Verdana" w:hAnsi="Verdana"/>
          <w:sz w:val="20"/>
          <w:szCs w:val="20"/>
          <w:lang w:val="es-ES"/>
        </w:rPr>
        <w:t xml:space="preserve">o existen elementos que justifiquen el reproche del Estado </w:t>
      </w:r>
      <w:r w:rsidR="008B38FB" w:rsidRPr="0033605D">
        <w:rPr>
          <w:rFonts w:ascii="Verdana" w:hAnsi="Verdana"/>
          <w:sz w:val="20"/>
          <w:szCs w:val="20"/>
          <w:lang w:val="es-ES"/>
        </w:rPr>
        <w:t>de una conducta que</w:t>
      </w:r>
      <w:r w:rsidR="00227342" w:rsidRPr="0033605D">
        <w:rPr>
          <w:rFonts w:ascii="Verdana" w:hAnsi="Verdana"/>
          <w:sz w:val="20"/>
          <w:szCs w:val="20"/>
          <w:lang w:val="es-ES"/>
        </w:rPr>
        <w:t xml:space="preserve"> </w:t>
      </w:r>
      <w:r w:rsidR="008B38FB" w:rsidRPr="0033605D">
        <w:rPr>
          <w:rFonts w:ascii="Verdana" w:hAnsi="Verdana"/>
          <w:sz w:val="20"/>
          <w:szCs w:val="20"/>
          <w:lang w:val="es-ES"/>
        </w:rPr>
        <w:t>constituye un</w:t>
      </w:r>
      <w:r w:rsidR="00227342" w:rsidRPr="0033605D">
        <w:rPr>
          <w:rFonts w:ascii="Verdana" w:hAnsi="Verdana"/>
          <w:sz w:val="20"/>
          <w:szCs w:val="20"/>
          <w:lang w:val="es-ES"/>
        </w:rPr>
        <w:t xml:space="preserve"> tratamiento médico necesario para salvaguardar la vida o integridad personal de la</w:t>
      </w:r>
      <w:r w:rsidR="008B38FB" w:rsidRPr="0033605D">
        <w:rPr>
          <w:rFonts w:ascii="Verdana" w:hAnsi="Verdana"/>
          <w:sz w:val="20"/>
          <w:szCs w:val="20"/>
          <w:lang w:val="es-ES"/>
        </w:rPr>
        <w:t>s</w:t>
      </w:r>
      <w:r w:rsidR="00227342" w:rsidRPr="0033605D">
        <w:rPr>
          <w:rFonts w:ascii="Verdana" w:hAnsi="Verdana"/>
          <w:sz w:val="20"/>
          <w:szCs w:val="20"/>
          <w:lang w:val="es-ES"/>
        </w:rPr>
        <w:t xml:space="preserve"> mujer</w:t>
      </w:r>
      <w:r w:rsidR="008B38FB" w:rsidRPr="0033605D">
        <w:rPr>
          <w:rFonts w:ascii="Verdana" w:hAnsi="Verdana"/>
          <w:sz w:val="20"/>
          <w:szCs w:val="20"/>
          <w:lang w:val="es-ES"/>
        </w:rPr>
        <w:t>es</w:t>
      </w:r>
      <w:r w:rsidR="00227342" w:rsidRPr="0033605D">
        <w:rPr>
          <w:rFonts w:ascii="Verdana" w:hAnsi="Verdana"/>
          <w:sz w:val="20"/>
          <w:szCs w:val="20"/>
          <w:lang w:val="es-ES"/>
        </w:rPr>
        <w:t xml:space="preserve">. </w:t>
      </w:r>
      <w:r w:rsidR="008B38FB" w:rsidRPr="0033605D">
        <w:rPr>
          <w:rFonts w:ascii="Verdana" w:hAnsi="Verdana"/>
          <w:sz w:val="20"/>
          <w:szCs w:val="20"/>
          <w:lang w:val="es-ES"/>
        </w:rPr>
        <w:t xml:space="preserve">Por el contrario, </w:t>
      </w:r>
      <w:r w:rsidR="00C12D62" w:rsidRPr="0033605D">
        <w:rPr>
          <w:rFonts w:ascii="Verdana" w:hAnsi="Verdana"/>
          <w:sz w:val="20"/>
          <w:szCs w:val="20"/>
          <w:lang w:val="es-ES"/>
        </w:rPr>
        <w:t xml:space="preserve">se trata de un medio necesario para el ejercicio y salvaguarda de </w:t>
      </w:r>
      <w:r w:rsidR="008B38FB" w:rsidRPr="0033605D">
        <w:rPr>
          <w:rFonts w:ascii="Verdana" w:hAnsi="Verdana"/>
          <w:sz w:val="20"/>
          <w:szCs w:val="20"/>
          <w:lang w:val="es-ES"/>
        </w:rPr>
        <w:t>múltiples derechos protegidos por la Convención Americana</w:t>
      </w:r>
      <w:r w:rsidR="00C12D62" w:rsidRPr="0033605D">
        <w:rPr>
          <w:rFonts w:ascii="Verdana" w:hAnsi="Verdana"/>
          <w:sz w:val="20"/>
          <w:szCs w:val="20"/>
          <w:lang w:val="es-ES"/>
        </w:rPr>
        <w:t>, respaldada en estrictos criterios médico-científicos</w:t>
      </w:r>
      <w:r w:rsidR="008B38FB" w:rsidRPr="0033605D">
        <w:rPr>
          <w:rFonts w:ascii="Verdana" w:hAnsi="Verdana"/>
          <w:sz w:val="20"/>
          <w:szCs w:val="20"/>
          <w:lang w:val="es-ES"/>
        </w:rPr>
        <w:t xml:space="preserve">. </w:t>
      </w:r>
      <w:r w:rsidR="00227342" w:rsidRPr="0033605D">
        <w:rPr>
          <w:rFonts w:ascii="Verdana" w:hAnsi="Verdana"/>
          <w:sz w:val="20"/>
          <w:szCs w:val="20"/>
          <w:lang w:val="es-ES"/>
        </w:rPr>
        <w:t xml:space="preserve">Tampoco es válido ignorar el efecto </w:t>
      </w:r>
      <w:r w:rsidRPr="0033605D">
        <w:rPr>
          <w:rFonts w:ascii="Verdana" w:hAnsi="Verdana"/>
          <w:sz w:val="20"/>
          <w:szCs w:val="20"/>
          <w:lang w:val="es-ES"/>
        </w:rPr>
        <w:t>amedrentador</w:t>
      </w:r>
      <w:r w:rsidR="00227342" w:rsidRPr="0033605D">
        <w:rPr>
          <w:rFonts w:ascii="Verdana" w:hAnsi="Verdana"/>
          <w:sz w:val="20"/>
          <w:szCs w:val="20"/>
          <w:lang w:val="es-ES"/>
        </w:rPr>
        <w:t xml:space="preserve"> de la criminalización, bajo el argumento que es posible demostrar una causal de exclusión de responsabilidad, </w:t>
      </w:r>
      <w:r w:rsidR="009C4CA0" w:rsidRPr="0033605D">
        <w:rPr>
          <w:rFonts w:ascii="Verdana" w:hAnsi="Verdana"/>
          <w:sz w:val="20"/>
          <w:szCs w:val="20"/>
          <w:lang w:val="es-ES"/>
        </w:rPr>
        <w:t>pues como lo ha sostenido</w:t>
      </w:r>
      <w:r w:rsidR="00227342" w:rsidRPr="0033605D">
        <w:rPr>
          <w:rFonts w:ascii="Verdana" w:hAnsi="Verdana"/>
          <w:sz w:val="20"/>
          <w:szCs w:val="20"/>
          <w:lang w:val="es-ES"/>
        </w:rPr>
        <w:t xml:space="preserve"> </w:t>
      </w:r>
      <w:r w:rsidR="00C12D62" w:rsidRPr="0033605D">
        <w:rPr>
          <w:rFonts w:ascii="Verdana" w:hAnsi="Verdana"/>
          <w:sz w:val="20"/>
          <w:szCs w:val="20"/>
          <w:lang w:val="es-ES"/>
        </w:rPr>
        <w:t xml:space="preserve">la </w:t>
      </w:r>
      <w:r w:rsidR="00227342" w:rsidRPr="0033605D">
        <w:rPr>
          <w:rFonts w:ascii="Verdana" w:hAnsi="Verdana"/>
          <w:sz w:val="20"/>
          <w:szCs w:val="20"/>
          <w:lang w:val="es-ES"/>
        </w:rPr>
        <w:t>propia Corte</w:t>
      </w:r>
      <w:r w:rsidRPr="0033605D">
        <w:rPr>
          <w:rFonts w:ascii="Verdana" w:hAnsi="Verdana"/>
          <w:sz w:val="20"/>
          <w:szCs w:val="20"/>
          <w:lang w:val="es-ES"/>
        </w:rPr>
        <w:t xml:space="preserve"> en su más reciente caso </w:t>
      </w:r>
      <w:r w:rsidRPr="0033605D">
        <w:rPr>
          <w:rFonts w:ascii="Verdana" w:hAnsi="Verdana"/>
          <w:i/>
          <w:iCs/>
          <w:sz w:val="20"/>
          <w:szCs w:val="20"/>
          <w:lang w:val="es-ES"/>
        </w:rPr>
        <w:t xml:space="preserve">Capriles </w:t>
      </w:r>
      <w:r w:rsidR="00C12D62" w:rsidRPr="0033605D">
        <w:rPr>
          <w:rFonts w:ascii="Verdana" w:hAnsi="Verdana"/>
          <w:i/>
          <w:iCs/>
          <w:sz w:val="20"/>
          <w:szCs w:val="20"/>
          <w:lang w:val="es-ES"/>
        </w:rPr>
        <w:t>Vs</w:t>
      </w:r>
      <w:r w:rsidRPr="0033605D">
        <w:rPr>
          <w:rFonts w:ascii="Verdana" w:hAnsi="Verdana"/>
          <w:i/>
          <w:iCs/>
          <w:sz w:val="20"/>
          <w:szCs w:val="20"/>
          <w:lang w:val="es-ES"/>
        </w:rPr>
        <w:t>. Venezuela</w:t>
      </w:r>
      <w:r w:rsidRPr="0033605D">
        <w:rPr>
          <w:rStyle w:val="Refdenotaalpie"/>
          <w:rFonts w:ascii="Verdana" w:hAnsi="Verdana"/>
          <w:sz w:val="20"/>
          <w:szCs w:val="20"/>
          <w:lang w:val="es-ES"/>
        </w:rPr>
        <w:footnoteReference w:id="54"/>
      </w:r>
      <w:r w:rsidR="009C4CA0" w:rsidRPr="0033605D">
        <w:rPr>
          <w:rFonts w:ascii="Verdana" w:hAnsi="Verdana"/>
          <w:sz w:val="20"/>
          <w:szCs w:val="20"/>
          <w:lang w:val="es-ES"/>
        </w:rPr>
        <w:t>,</w:t>
      </w:r>
      <w:r w:rsidR="00227342" w:rsidRPr="0033605D">
        <w:rPr>
          <w:rFonts w:ascii="Verdana" w:hAnsi="Verdana"/>
          <w:sz w:val="20"/>
          <w:szCs w:val="20"/>
          <w:lang w:val="es-ES"/>
        </w:rPr>
        <w:t xml:space="preserve"> la mera existencia del tipo penal tiene un efecto inhibitorio</w:t>
      </w:r>
      <w:r w:rsidR="00C12D62" w:rsidRPr="0033605D">
        <w:rPr>
          <w:rFonts w:ascii="Verdana" w:hAnsi="Verdana"/>
          <w:sz w:val="20"/>
          <w:szCs w:val="20"/>
          <w:lang w:val="es-ES"/>
        </w:rPr>
        <w:t xml:space="preserve"> para el ejercicio de los derechos. Este ef</w:t>
      </w:r>
      <w:r w:rsidR="009C4CA0" w:rsidRPr="0033605D">
        <w:rPr>
          <w:rFonts w:ascii="Verdana" w:hAnsi="Verdana"/>
          <w:sz w:val="20"/>
          <w:szCs w:val="20"/>
          <w:lang w:val="es-ES"/>
        </w:rPr>
        <w:t>ecto resultó evidente en el caso concreto</w:t>
      </w:r>
      <w:r w:rsidR="00C12D62" w:rsidRPr="0033605D">
        <w:rPr>
          <w:rFonts w:ascii="Verdana" w:hAnsi="Verdana"/>
          <w:sz w:val="20"/>
          <w:szCs w:val="20"/>
          <w:lang w:val="es-ES"/>
        </w:rPr>
        <w:t>, pues los médicos se abstuvieron de realizar el tratamiento por temor a ser procesados y con ellos se afectaron los derechos a la vida e integridad</w:t>
      </w:r>
      <w:r w:rsidR="009C4CA0" w:rsidRPr="0033605D">
        <w:rPr>
          <w:rFonts w:ascii="Verdana" w:hAnsi="Verdana"/>
          <w:sz w:val="20"/>
          <w:szCs w:val="20"/>
          <w:lang w:val="es-ES"/>
        </w:rPr>
        <w:t>.</w:t>
      </w:r>
      <w:r w:rsidR="00C12D62" w:rsidRPr="0033605D">
        <w:rPr>
          <w:rFonts w:ascii="Verdana" w:hAnsi="Verdana"/>
          <w:sz w:val="20"/>
          <w:szCs w:val="20"/>
          <w:lang w:val="es-ES"/>
        </w:rPr>
        <w:t xml:space="preserve"> Considero que este tratamiento disímil entre la libertad de expresión y los derechos a la vida e integridad es injustificado, máxime cuando resulta en una elevada desprotección de los derechos de las mujeres. </w:t>
      </w:r>
    </w:p>
    <w:p w14:paraId="523C9471" w14:textId="65D9E050" w:rsidR="009C4CA0" w:rsidRPr="0033605D" w:rsidRDefault="008B38FB"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C</w:t>
      </w:r>
      <w:r w:rsidR="003C5AF9" w:rsidRPr="0033605D">
        <w:rPr>
          <w:rFonts w:ascii="Verdana" w:hAnsi="Verdana"/>
          <w:sz w:val="20"/>
          <w:szCs w:val="20"/>
          <w:lang w:val="es-ES"/>
        </w:rPr>
        <w:t xml:space="preserve">omo fue indicado por el Comité Médico y por la </w:t>
      </w:r>
      <w:r w:rsidR="008A23B8" w:rsidRPr="0033605D">
        <w:rPr>
          <w:rFonts w:ascii="Verdana" w:hAnsi="Verdana"/>
          <w:sz w:val="20"/>
          <w:szCs w:val="20"/>
        </w:rPr>
        <w:t>Sala de lo Constitucional</w:t>
      </w:r>
      <w:r w:rsidR="003C5AF9" w:rsidRPr="0033605D">
        <w:rPr>
          <w:rFonts w:ascii="Verdana" w:hAnsi="Verdana"/>
          <w:sz w:val="20"/>
          <w:szCs w:val="20"/>
          <w:lang w:val="es-ES"/>
        </w:rPr>
        <w:t xml:space="preserve">, a pesar de que </w:t>
      </w:r>
      <w:r w:rsidR="00085AD8" w:rsidRPr="0033605D">
        <w:rPr>
          <w:rFonts w:ascii="Verdana" w:hAnsi="Verdana"/>
          <w:sz w:val="20"/>
          <w:szCs w:val="20"/>
          <w:lang w:val="es-ES"/>
        </w:rPr>
        <w:t xml:space="preserve">los encargados de la atención en salud sabían que resultaba necesaria la </w:t>
      </w:r>
      <w:r w:rsidR="00085AD8" w:rsidRPr="0033605D">
        <w:rPr>
          <w:rFonts w:ascii="Verdana" w:hAnsi="Verdana"/>
          <w:sz w:val="20"/>
          <w:szCs w:val="20"/>
          <w:lang w:val="es-ES"/>
        </w:rPr>
        <w:lastRenderedPageBreak/>
        <w:t>interrupción del embarazo de Beatriz para proteger su vida e integridad</w:t>
      </w:r>
      <w:r w:rsidR="008B2478" w:rsidRPr="0033605D">
        <w:rPr>
          <w:rFonts w:ascii="Verdana" w:hAnsi="Verdana"/>
          <w:sz w:val="20"/>
          <w:szCs w:val="20"/>
          <w:lang w:val="es-ES"/>
        </w:rPr>
        <w:t xml:space="preserve"> y que además la vida extrauterina del feto era inviable</w:t>
      </w:r>
      <w:r w:rsidR="00085AD8" w:rsidRPr="0033605D">
        <w:rPr>
          <w:rFonts w:ascii="Verdana" w:hAnsi="Verdana"/>
          <w:sz w:val="20"/>
          <w:szCs w:val="20"/>
          <w:lang w:val="es-ES"/>
        </w:rPr>
        <w:t xml:space="preserve">, no procedieron por temor a </w:t>
      </w:r>
      <w:r w:rsidR="00E5119E" w:rsidRPr="0033605D">
        <w:rPr>
          <w:rFonts w:ascii="Verdana" w:hAnsi="Verdana"/>
          <w:sz w:val="20"/>
          <w:szCs w:val="20"/>
          <w:lang w:val="es-ES"/>
        </w:rPr>
        <w:t>ser</w:t>
      </w:r>
      <w:r w:rsidR="00085AD8" w:rsidRPr="0033605D">
        <w:rPr>
          <w:rFonts w:ascii="Verdana" w:hAnsi="Verdana"/>
          <w:sz w:val="20"/>
          <w:szCs w:val="20"/>
          <w:lang w:val="es-ES"/>
        </w:rPr>
        <w:t xml:space="preserve"> procesados penalmente. </w:t>
      </w:r>
      <w:r w:rsidR="00F83C64" w:rsidRPr="0033605D">
        <w:rPr>
          <w:rFonts w:ascii="Verdana" w:hAnsi="Verdana"/>
          <w:sz w:val="20"/>
          <w:szCs w:val="20"/>
          <w:lang w:val="es-ES"/>
        </w:rPr>
        <w:t xml:space="preserve">La existencia de las causales de exclusión de responsabilidad no </w:t>
      </w:r>
      <w:r w:rsidRPr="0033605D">
        <w:rPr>
          <w:rFonts w:ascii="Verdana" w:hAnsi="Verdana"/>
          <w:sz w:val="20"/>
          <w:szCs w:val="20"/>
          <w:lang w:val="es-ES"/>
        </w:rPr>
        <w:t>fue</w:t>
      </w:r>
      <w:r w:rsidR="00F83C64" w:rsidRPr="0033605D">
        <w:rPr>
          <w:rFonts w:ascii="Verdana" w:hAnsi="Verdana"/>
          <w:sz w:val="20"/>
          <w:szCs w:val="20"/>
          <w:lang w:val="es-ES"/>
        </w:rPr>
        <w:t xml:space="preserve"> suficiente para que estos </w:t>
      </w:r>
      <w:r w:rsidR="00EA6EBD" w:rsidRPr="0033605D">
        <w:rPr>
          <w:rFonts w:ascii="Verdana" w:hAnsi="Verdana"/>
          <w:sz w:val="20"/>
          <w:szCs w:val="20"/>
          <w:lang w:val="es-ES"/>
        </w:rPr>
        <w:t>decidieran</w:t>
      </w:r>
      <w:r w:rsidR="00F83C64" w:rsidRPr="0033605D">
        <w:rPr>
          <w:rFonts w:ascii="Verdana" w:hAnsi="Verdana"/>
          <w:sz w:val="20"/>
          <w:szCs w:val="20"/>
          <w:lang w:val="es-ES"/>
        </w:rPr>
        <w:t xml:space="preserve"> optar por realizar el tratamiento médico, pues en el evento en que no lograren demostrar la ocurrencia de los requisitos de agresión legítima o </w:t>
      </w:r>
      <w:r w:rsidR="00B2435E" w:rsidRPr="0033605D">
        <w:rPr>
          <w:rFonts w:ascii="Verdana" w:hAnsi="Verdana"/>
          <w:sz w:val="20"/>
          <w:szCs w:val="20"/>
          <w:lang w:val="es-ES"/>
        </w:rPr>
        <w:t>peligro real, actual o inminente, se arriesgaban a penas de hasta 12 años y a la p</w:t>
      </w:r>
      <w:r w:rsidR="00C12D62" w:rsidRPr="0033605D">
        <w:rPr>
          <w:rFonts w:ascii="Verdana" w:hAnsi="Verdana"/>
          <w:sz w:val="20"/>
          <w:szCs w:val="20"/>
          <w:lang w:val="es-ES"/>
        </w:rPr>
        <w:t>é</w:t>
      </w:r>
      <w:r w:rsidR="00B2435E" w:rsidRPr="0033605D">
        <w:rPr>
          <w:rFonts w:ascii="Verdana" w:hAnsi="Verdana"/>
          <w:sz w:val="20"/>
          <w:szCs w:val="20"/>
          <w:lang w:val="es-ES"/>
        </w:rPr>
        <w:t xml:space="preserve">rdida de su licencia para ejercer la medicina. Esto en efecto hubiera podido ocurrir en el caso de Beatriz, pues en el marco del proceso </w:t>
      </w:r>
      <w:r w:rsidR="00224786" w:rsidRPr="0033605D">
        <w:rPr>
          <w:rFonts w:ascii="Verdana" w:hAnsi="Verdana"/>
          <w:sz w:val="20"/>
          <w:szCs w:val="20"/>
          <w:lang w:val="es-ES"/>
        </w:rPr>
        <w:t xml:space="preserve">judicial el Instituto de Medicina Legal consideró que no había peligro </w:t>
      </w:r>
      <w:r w:rsidR="00EA6EBD" w:rsidRPr="0033605D">
        <w:rPr>
          <w:rFonts w:ascii="Verdana" w:hAnsi="Verdana"/>
          <w:sz w:val="20"/>
          <w:szCs w:val="20"/>
          <w:lang w:val="es-ES"/>
        </w:rPr>
        <w:t>“</w:t>
      </w:r>
      <w:r w:rsidR="00224786" w:rsidRPr="0033605D">
        <w:rPr>
          <w:rFonts w:ascii="Verdana" w:hAnsi="Verdana"/>
          <w:sz w:val="20"/>
          <w:szCs w:val="20"/>
          <w:lang w:val="es-ES"/>
        </w:rPr>
        <w:t>real, actual o inminente</w:t>
      </w:r>
      <w:r w:rsidR="00EA6EBD" w:rsidRPr="0033605D">
        <w:rPr>
          <w:rFonts w:ascii="Verdana" w:hAnsi="Verdana"/>
          <w:sz w:val="20"/>
          <w:szCs w:val="20"/>
          <w:lang w:val="es-ES"/>
        </w:rPr>
        <w:t>”</w:t>
      </w:r>
      <w:r w:rsidR="00224786" w:rsidRPr="0033605D">
        <w:rPr>
          <w:rFonts w:ascii="Verdana" w:hAnsi="Verdana"/>
          <w:sz w:val="20"/>
          <w:szCs w:val="20"/>
          <w:lang w:val="es-ES"/>
        </w:rPr>
        <w:t xml:space="preserve"> para la vida, aunque los médicos del Hospital consideraban que sí existía un riesgo para la vida de Beatriz</w:t>
      </w:r>
      <w:r w:rsidR="0086607E" w:rsidRPr="0033605D">
        <w:rPr>
          <w:rFonts w:ascii="Verdana" w:hAnsi="Verdana"/>
          <w:sz w:val="20"/>
          <w:szCs w:val="20"/>
          <w:lang w:val="es-ES"/>
        </w:rPr>
        <w:t>, sin entrar a considerar los calificativos jurídicos de actualidad o inminencia que no corresponden a su ejercicio profesional ni a su mandato ético de protección de la vida del paciente</w:t>
      </w:r>
      <w:r w:rsidR="00224786" w:rsidRPr="0033605D">
        <w:rPr>
          <w:rFonts w:ascii="Verdana" w:hAnsi="Verdana"/>
          <w:sz w:val="20"/>
          <w:szCs w:val="20"/>
          <w:lang w:val="es-ES"/>
        </w:rPr>
        <w:t xml:space="preserve">. </w:t>
      </w:r>
    </w:p>
    <w:p w14:paraId="7041822A" w14:textId="3103D009" w:rsidR="001C5EC3" w:rsidRPr="0033605D" w:rsidRDefault="00AE5D88"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Precisamente para evitar las circunstancias descritas es que</w:t>
      </w:r>
      <w:r w:rsidR="0048295B" w:rsidRPr="0033605D">
        <w:rPr>
          <w:rFonts w:ascii="Verdana" w:hAnsi="Verdana"/>
          <w:sz w:val="20"/>
          <w:szCs w:val="20"/>
          <w:lang w:val="es-ES"/>
        </w:rPr>
        <w:t xml:space="preserve"> resulta contrario a la Convención Americana la </w:t>
      </w:r>
      <w:r w:rsidR="00A7407A" w:rsidRPr="0033605D">
        <w:rPr>
          <w:rFonts w:ascii="Verdana" w:hAnsi="Verdana"/>
          <w:sz w:val="20"/>
          <w:szCs w:val="20"/>
          <w:lang w:val="es-ES"/>
        </w:rPr>
        <w:t>criminaliza</w:t>
      </w:r>
      <w:r w:rsidR="0048295B" w:rsidRPr="0033605D">
        <w:rPr>
          <w:rFonts w:ascii="Verdana" w:hAnsi="Verdana"/>
          <w:sz w:val="20"/>
          <w:szCs w:val="20"/>
          <w:lang w:val="es-ES"/>
        </w:rPr>
        <w:t>ción d</w:t>
      </w:r>
      <w:r w:rsidR="001546A7" w:rsidRPr="0033605D">
        <w:rPr>
          <w:rFonts w:ascii="Verdana" w:hAnsi="Verdana"/>
          <w:sz w:val="20"/>
          <w:szCs w:val="20"/>
          <w:lang w:val="es-ES"/>
        </w:rPr>
        <w:t>el aborto en casos de riesgo para la madre</w:t>
      </w:r>
      <w:r w:rsidR="0008059D" w:rsidRPr="0033605D">
        <w:rPr>
          <w:rFonts w:ascii="Verdana" w:hAnsi="Verdana"/>
          <w:sz w:val="20"/>
          <w:szCs w:val="20"/>
          <w:lang w:val="es-ES"/>
        </w:rPr>
        <w:t xml:space="preserve"> y de inviabilidad de la vida extrauterina del feto</w:t>
      </w:r>
      <w:r w:rsidR="001546A7" w:rsidRPr="0033605D">
        <w:rPr>
          <w:rFonts w:ascii="Verdana" w:hAnsi="Verdana"/>
          <w:sz w:val="20"/>
          <w:szCs w:val="20"/>
          <w:lang w:val="es-ES"/>
        </w:rPr>
        <w:t>.</w:t>
      </w:r>
      <w:r w:rsidR="001C5EC3" w:rsidRPr="0033605D">
        <w:rPr>
          <w:rFonts w:ascii="Verdana" w:hAnsi="Verdana"/>
          <w:sz w:val="20"/>
          <w:szCs w:val="20"/>
          <w:lang w:val="es-ES"/>
        </w:rPr>
        <w:t xml:space="preserve"> </w:t>
      </w:r>
      <w:r w:rsidR="00D469F3" w:rsidRPr="0033605D">
        <w:rPr>
          <w:rFonts w:ascii="Verdana" w:hAnsi="Verdana"/>
          <w:sz w:val="20"/>
          <w:szCs w:val="20"/>
          <w:lang w:val="es-ES"/>
        </w:rPr>
        <w:t>Un</w:t>
      </w:r>
      <w:r w:rsidR="001C5EC3" w:rsidRPr="0033605D">
        <w:rPr>
          <w:rFonts w:ascii="Verdana" w:hAnsi="Verdana"/>
          <w:sz w:val="20"/>
          <w:szCs w:val="20"/>
          <w:lang w:val="es-ES"/>
        </w:rPr>
        <w:t xml:space="preserve"> análisis</w:t>
      </w:r>
      <w:r w:rsidR="00D469F3" w:rsidRPr="0033605D">
        <w:rPr>
          <w:rFonts w:ascii="Verdana" w:hAnsi="Verdana"/>
          <w:sz w:val="20"/>
          <w:szCs w:val="20"/>
          <w:lang w:val="es-ES"/>
        </w:rPr>
        <w:t xml:space="preserve"> que considerara estos elementos</w:t>
      </w:r>
      <w:r w:rsidR="001C5EC3" w:rsidRPr="0033605D">
        <w:rPr>
          <w:rFonts w:ascii="Verdana" w:hAnsi="Verdana"/>
          <w:sz w:val="20"/>
          <w:szCs w:val="20"/>
          <w:lang w:val="es-ES"/>
        </w:rPr>
        <w:t xml:space="preserve"> fue groseramente omitido por la Corte.</w:t>
      </w:r>
      <w:r w:rsidR="001546A7" w:rsidRPr="0033605D">
        <w:rPr>
          <w:rFonts w:ascii="Verdana" w:hAnsi="Verdana"/>
          <w:sz w:val="20"/>
          <w:szCs w:val="20"/>
          <w:lang w:val="es-ES"/>
        </w:rPr>
        <w:t xml:space="preserve"> </w:t>
      </w:r>
      <w:r w:rsidR="00C2336D" w:rsidRPr="0033605D">
        <w:rPr>
          <w:rFonts w:ascii="Verdana" w:hAnsi="Verdana"/>
          <w:sz w:val="20"/>
          <w:szCs w:val="20"/>
          <w:lang w:val="es-ES"/>
        </w:rPr>
        <w:t>La decisión de una mujer de interrumpir el embarazo cuando su vida o integridad está en peligro por llevarlo adelante</w:t>
      </w:r>
      <w:r w:rsidR="00B7021F" w:rsidRPr="0033605D">
        <w:rPr>
          <w:rFonts w:ascii="Verdana" w:hAnsi="Verdana"/>
          <w:sz w:val="20"/>
          <w:szCs w:val="20"/>
          <w:lang w:val="es-ES"/>
        </w:rPr>
        <w:t xml:space="preserve"> o ante la inviabilidad de la vida extrauterina del feto</w:t>
      </w:r>
      <w:r w:rsidR="008E70C7" w:rsidRPr="0033605D">
        <w:rPr>
          <w:rFonts w:ascii="Verdana" w:hAnsi="Verdana"/>
          <w:sz w:val="20"/>
          <w:szCs w:val="20"/>
          <w:lang w:val="es-ES"/>
        </w:rPr>
        <w:t xml:space="preserve"> es legítima</w:t>
      </w:r>
      <w:r w:rsidR="00B0497F" w:rsidRPr="0033605D">
        <w:rPr>
          <w:rFonts w:ascii="Verdana" w:hAnsi="Verdana"/>
          <w:sz w:val="20"/>
          <w:szCs w:val="20"/>
          <w:lang w:val="es-ES"/>
        </w:rPr>
        <w:t>,</w:t>
      </w:r>
      <w:r w:rsidR="007D4343" w:rsidRPr="0033605D">
        <w:rPr>
          <w:rFonts w:ascii="Verdana" w:hAnsi="Verdana"/>
          <w:sz w:val="20"/>
          <w:szCs w:val="20"/>
          <w:lang w:val="es-ES"/>
        </w:rPr>
        <w:t xml:space="preserve"> y no resulta razonable </w:t>
      </w:r>
      <w:r w:rsidR="008E70C7" w:rsidRPr="0033605D">
        <w:rPr>
          <w:rFonts w:ascii="Verdana" w:hAnsi="Verdana"/>
          <w:sz w:val="20"/>
          <w:szCs w:val="20"/>
          <w:lang w:val="es-ES"/>
        </w:rPr>
        <w:t xml:space="preserve">la apertura de procedimientos </w:t>
      </w:r>
      <w:r w:rsidR="00AA2985" w:rsidRPr="0033605D">
        <w:rPr>
          <w:rFonts w:ascii="Verdana" w:hAnsi="Verdana"/>
          <w:sz w:val="20"/>
          <w:szCs w:val="20"/>
          <w:lang w:val="es-ES"/>
        </w:rPr>
        <w:t>penal</w:t>
      </w:r>
      <w:r w:rsidR="001C5EC3" w:rsidRPr="0033605D">
        <w:rPr>
          <w:rFonts w:ascii="Verdana" w:hAnsi="Verdana"/>
          <w:sz w:val="20"/>
          <w:szCs w:val="20"/>
          <w:lang w:val="es-ES"/>
        </w:rPr>
        <w:t>es con la amenaza de una sanción penal</w:t>
      </w:r>
      <w:r w:rsidR="00AA2985" w:rsidRPr="0033605D">
        <w:rPr>
          <w:rFonts w:ascii="Verdana" w:hAnsi="Verdana"/>
          <w:sz w:val="20"/>
          <w:szCs w:val="20"/>
          <w:lang w:val="es-ES"/>
        </w:rPr>
        <w:t xml:space="preserve">. </w:t>
      </w:r>
      <w:r w:rsidR="001C5EC3" w:rsidRPr="0033605D">
        <w:rPr>
          <w:rFonts w:ascii="Verdana" w:hAnsi="Verdana"/>
          <w:sz w:val="20"/>
          <w:szCs w:val="20"/>
          <w:lang w:val="es-ES"/>
        </w:rPr>
        <w:t>La postura contraria, que fue la que asumió el Tribunal en este caso,</w:t>
      </w:r>
      <w:r w:rsidR="006C0486" w:rsidRPr="0033605D">
        <w:rPr>
          <w:rFonts w:ascii="Verdana" w:hAnsi="Verdana"/>
          <w:sz w:val="20"/>
          <w:szCs w:val="20"/>
          <w:lang w:val="es-ES"/>
        </w:rPr>
        <w:t xml:space="preserve"> desconoce </w:t>
      </w:r>
      <w:r w:rsidR="001C5EC3" w:rsidRPr="0033605D">
        <w:rPr>
          <w:rFonts w:ascii="Verdana" w:hAnsi="Verdana"/>
          <w:sz w:val="20"/>
          <w:szCs w:val="20"/>
          <w:lang w:val="es-ES"/>
        </w:rPr>
        <w:t>los derechos de las mujeres a</w:t>
      </w:r>
      <w:r w:rsidR="006C0486" w:rsidRPr="0033605D">
        <w:rPr>
          <w:rFonts w:ascii="Verdana" w:hAnsi="Verdana"/>
          <w:sz w:val="20"/>
          <w:szCs w:val="20"/>
          <w:lang w:val="es-ES"/>
        </w:rPr>
        <w:t xml:space="preserve"> la vida, la integridad, la libertad, la vida privada, y </w:t>
      </w:r>
      <w:r w:rsidR="00D31E06" w:rsidRPr="0033605D">
        <w:rPr>
          <w:rFonts w:ascii="Verdana" w:hAnsi="Verdana"/>
          <w:sz w:val="20"/>
          <w:szCs w:val="20"/>
          <w:lang w:val="es-ES"/>
        </w:rPr>
        <w:t>en últimas la protección de la dignidad de las mujeres</w:t>
      </w:r>
      <w:r w:rsidR="007922A1" w:rsidRPr="0033605D">
        <w:rPr>
          <w:rFonts w:ascii="Verdana" w:hAnsi="Verdana"/>
          <w:sz w:val="20"/>
          <w:szCs w:val="20"/>
          <w:lang w:val="es-ES"/>
        </w:rPr>
        <w:t xml:space="preserve"> y su derecho a vivir una vida libre de violencia y discriminación</w:t>
      </w:r>
      <w:r w:rsidR="001C5EC3" w:rsidRPr="0033605D">
        <w:rPr>
          <w:rFonts w:ascii="Verdana" w:hAnsi="Verdana"/>
          <w:sz w:val="20"/>
          <w:szCs w:val="20"/>
          <w:lang w:val="es-ES"/>
        </w:rPr>
        <w:t>.</w:t>
      </w:r>
      <w:r w:rsidR="00D31E06" w:rsidRPr="0033605D">
        <w:rPr>
          <w:rFonts w:ascii="Verdana" w:hAnsi="Verdana"/>
          <w:sz w:val="20"/>
          <w:szCs w:val="20"/>
          <w:lang w:val="es-ES"/>
        </w:rPr>
        <w:t xml:space="preserve"> </w:t>
      </w:r>
    </w:p>
    <w:p w14:paraId="0E8D47F1" w14:textId="349D0150" w:rsidR="00255462" w:rsidRPr="0033605D" w:rsidRDefault="001C5EC3"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primer lugar, </w:t>
      </w:r>
      <w:r w:rsidR="008B38FB" w:rsidRPr="0033605D">
        <w:rPr>
          <w:rFonts w:ascii="Verdana" w:hAnsi="Verdana"/>
          <w:sz w:val="20"/>
          <w:szCs w:val="20"/>
          <w:lang w:val="es-ES"/>
        </w:rPr>
        <w:t>l</w:t>
      </w:r>
      <w:r w:rsidR="00D31E06" w:rsidRPr="0033605D">
        <w:rPr>
          <w:rFonts w:ascii="Verdana" w:hAnsi="Verdana"/>
          <w:sz w:val="20"/>
          <w:szCs w:val="20"/>
          <w:lang w:val="es-ES"/>
        </w:rPr>
        <w:t xml:space="preserve">a noción de protección gradual e incremental de la vida </w:t>
      </w:r>
      <w:r w:rsidR="003E444A" w:rsidRPr="0033605D">
        <w:rPr>
          <w:rFonts w:ascii="Verdana" w:hAnsi="Verdana"/>
          <w:sz w:val="20"/>
          <w:szCs w:val="20"/>
          <w:lang w:val="es-ES"/>
        </w:rPr>
        <w:t xml:space="preserve">en el marco de la Convención </w:t>
      </w:r>
      <w:r w:rsidR="0088549C" w:rsidRPr="0033605D">
        <w:rPr>
          <w:rFonts w:ascii="Verdana" w:hAnsi="Verdana"/>
          <w:sz w:val="20"/>
          <w:szCs w:val="20"/>
          <w:lang w:val="es-ES"/>
        </w:rPr>
        <w:t>Americana</w:t>
      </w:r>
      <w:r w:rsidR="003E444A" w:rsidRPr="0033605D">
        <w:rPr>
          <w:rFonts w:ascii="Verdana" w:hAnsi="Verdana"/>
          <w:sz w:val="20"/>
          <w:szCs w:val="20"/>
          <w:lang w:val="es-ES"/>
        </w:rPr>
        <w:t xml:space="preserve"> </w:t>
      </w:r>
      <w:r w:rsidR="00D31E06" w:rsidRPr="0033605D">
        <w:rPr>
          <w:rFonts w:ascii="Verdana" w:hAnsi="Verdana"/>
          <w:sz w:val="20"/>
          <w:szCs w:val="20"/>
          <w:lang w:val="es-ES"/>
        </w:rPr>
        <w:t xml:space="preserve">exige privilegiar </w:t>
      </w:r>
      <w:r w:rsidR="009C4CA0" w:rsidRPr="0033605D">
        <w:rPr>
          <w:rFonts w:ascii="Verdana" w:hAnsi="Verdana"/>
          <w:sz w:val="20"/>
          <w:szCs w:val="20"/>
          <w:lang w:val="es-ES"/>
        </w:rPr>
        <w:t>los derechos de la</w:t>
      </w:r>
      <w:r w:rsidR="000D416F" w:rsidRPr="0033605D">
        <w:rPr>
          <w:rFonts w:ascii="Verdana" w:hAnsi="Verdana"/>
          <w:sz w:val="20"/>
          <w:szCs w:val="20"/>
          <w:lang w:val="es-ES"/>
        </w:rPr>
        <w:t xml:space="preserve"> madre, cuando </w:t>
      </w:r>
      <w:r w:rsidR="009C4CA0" w:rsidRPr="0033605D">
        <w:rPr>
          <w:rFonts w:ascii="Verdana" w:hAnsi="Verdana"/>
          <w:sz w:val="20"/>
          <w:szCs w:val="20"/>
          <w:lang w:val="es-ES"/>
        </w:rPr>
        <w:t>su vida</w:t>
      </w:r>
      <w:r w:rsidR="000D416F" w:rsidRPr="0033605D">
        <w:rPr>
          <w:rFonts w:ascii="Verdana" w:hAnsi="Verdana"/>
          <w:sz w:val="20"/>
          <w:szCs w:val="20"/>
          <w:lang w:val="es-ES"/>
        </w:rPr>
        <w:t xml:space="preserve"> </w:t>
      </w:r>
      <w:r w:rsidR="009C4CA0" w:rsidRPr="0033605D">
        <w:rPr>
          <w:rFonts w:ascii="Verdana" w:hAnsi="Verdana"/>
          <w:sz w:val="20"/>
          <w:szCs w:val="20"/>
          <w:lang w:val="es-ES"/>
        </w:rPr>
        <w:t>o integridad personal están</w:t>
      </w:r>
      <w:r w:rsidR="000D416F" w:rsidRPr="0033605D">
        <w:rPr>
          <w:rFonts w:ascii="Verdana" w:hAnsi="Verdana"/>
          <w:sz w:val="20"/>
          <w:szCs w:val="20"/>
          <w:lang w:val="es-ES"/>
        </w:rPr>
        <w:t xml:space="preserve"> en riesgo por causa del embarazo</w:t>
      </w:r>
      <w:r w:rsidR="001A7D40" w:rsidRPr="0033605D">
        <w:rPr>
          <w:rStyle w:val="Refdenotaalpie"/>
          <w:rFonts w:ascii="Verdana" w:hAnsi="Verdana"/>
          <w:sz w:val="20"/>
          <w:szCs w:val="20"/>
          <w:lang w:val="es-ES"/>
        </w:rPr>
        <w:footnoteReference w:id="55"/>
      </w:r>
      <w:r w:rsidR="000D416F" w:rsidRPr="0033605D">
        <w:rPr>
          <w:rFonts w:ascii="Verdana" w:hAnsi="Verdana"/>
          <w:sz w:val="20"/>
          <w:szCs w:val="20"/>
          <w:lang w:val="es-ES"/>
        </w:rPr>
        <w:t>,</w:t>
      </w:r>
      <w:r w:rsidR="009C4CA0" w:rsidRPr="0033605D">
        <w:rPr>
          <w:rFonts w:ascii="Verdana" w:hAnsi="Verdana"/>
          <w:sz w:val="20"/>
          <w:szCs w:val="20"/>
          <w:lang w:val="es-ES"/>
        </w:rPr>
        <w:t xml:space="preserve"> o</w:t>
      </w:r>
      <w:r w:rsidR="000D416F" w:rsidRPr="0033605D">
        <w:rPr>
          <w:rFonts w:ascii="Verdana" w:hAnsi="Verdana"/>
          <w:sz w:val="20"/>
          <w:szCs w:val="20"/>
          <w:lang w:val="es-ES"/>
        </w:rPr>
        <w:t xml:space="preserve"> </w:t>
      </w:r>
      <w:r w:rsidR="008D5E70" w:rsidRPr="0033605D">
        <w:rPr>
          <w:rFonts w:ascii="Verdana" w:hAnsi="Verdana"/>
          <w:sz w:val="20"/>
          <w:szCs w:val="20"/>
          <w:lang w:val="es-ES"/>
        </w:rPr>
        <w:t>cuando la vida extrauterina del feto es inviable</w:t>
      </w:r>
      <w:r w:rsidR="00E1709C" w:rsidRPr="0033605D">
        <w:rPr>
          <w:rFonts w:ascii="Verdana" w:hAnsi="Verdana"/>
          <w:sz w:val="20"/>
          <w:szCs w:val="20"/>
          <w:lang w:val="es-ES"/>
        </w:rPr>
        <w:t>, sin temores a que pued</w:t>
      </w:r>
      <w:r w:rsidR="003E444A" w:rsidRPr="0033605D">
        <w:rPr>
          <w:rFonts w:ascii="Verdana" w:hAnsi="Verdana"/>
          <w:sz w:val="20"/>
          <w:szCs w:val="20"/>
          <w:lang w:val="es-ES"/>
        </w:rPr>
        <w:t>a</w:t>
      </w:r>
      <w:r w:rsidR="00E1709C" w:rsidRPr="0033605D">
        <w:rPr>
          <w:rFonts w:ascii="Verdana" w:hAnsi="Verdana"/>
          <w:sz w:val="20"/>
          <w:szCs w:val="20"/>
          <w:lang w:val="es-ES"/>
        </w:rPr>
        <w:t xml:space="preserve"> ser penalizada por </w:t>
      </w:r>
      <w:r w:rsidR="008D5E70" w:rsidRPr="0033605D">
        <w:rPr>
          <w:rFonts w:ascii="Verdana" w:hAnsi="Verdana"/>
          <w:sz w:val="20"/>
          <w:szCs w:val="20"/>
          <w:lang w:val="es-ES"/>
        </w:rPr>
        <w:t xml:space="preserve">proteger su vida e integridad </w:t>
      </w:r>
      <w:r w:rsidR="003C3544" w:rsidRPr="0033605D">
        <w:rPr>
          <w:rFonts w:ascii="Verdana" w:hAnsi="Verdana"/>
          <w:sz w:val="20"/>
          <w:szCs w:val="20"/>
          <w:lang w:val="es-ES"/>
        </w:rPr>
        <w:t xml:space="preserve">y por </w:t>
      </w:r>
      <w:r w:rsidR="00E1709C" w:rsidRPr="0033605D">
        <w:rPr>
          <w:rFonts w:ascii="Verdana" w:hAnsi="Verdana"/>
          <w:sz w:val="20"/>
          <w:szCs w:val="20"/>
          <w:lang w:val="es-ES"/>
        </w:rPr>
        <w:t xml:space="preserve">ejercer su autonomía. </w:t>
      </w:r>
      <w:r w:rsidR="00C2091F" w:rsidRPr="0033605D">
        <w:rPr>
          <w:rFonts w:ascii="Verdana" w:hAnsi="Verdana"/>
          <w:sz w:val="20"/>
          <w:szCs w:val="20"/>
          <w:lang w:val="es-ES"/>
        </w:rPr>
        <w:t>Exigir a las</w:t>
      </w:r>
      <w:r w:rsidR="00853C15" w:rsidRPr="0033605D">
        <w:rPr>
          <w:rFonts w:ascii="Verdana" w:hAnsi="Verdana"/>
          <w:sz w:val="20"/>
          <w:szCs w:val="20"/>
          <w:lang w:val="es-ES"/>
        </w:rPr>
        <w:t xml:space="preserve"> mujer</w:t>
      </w:r>
      <w:r w:rsidR="00C2091F" w:rsidRPr="0033605D">
        <w:rPr>
          <w:rFonts w:ascii="Verdana" w:hAnsi="Verdana"/>
          <w:sz w:val="20"/>
          <w:szCs w:val="20"/>
          <w:lang w:val="es-ES"/>
        </w:rPr>
        <w:t>es</w:t>
      </w:r>
      <w:r w:rsidR="00853C15" w:rsidRPr="0033605D">
        <w:rPr>
          <w:rFonts w:ascii="Verdana" w:hAnsi="Verdana"/>
          <w:sz w:val="20"/>
          <w:szCs w:val="20"/>
          <w:lang w:val="es-ES"/>
        </w:rPr>
        <w:t xml:space="preserve"> </w:t>
      </w:r>
      <w:r w:rsidR="00C2091F" w:rsidRPr="0033605D">
        <w:rPr>
          <w:rFonts w:ascii="Verdana" w:hAnsi="Verdana"/>
          <w:sz w:val="20"/>
          <w:szCs w:val="20"/>
          <w:lang w:val="es-ES"/>
        </w:rPr>
        <w:t xml:space="preserve">privilegiar la vida del feto por sobre la suya o </w:t>
      </w:r>
      <w:r w:rsidR="00D651FA" w:rsidRPr="0033605D">
        <w:rPr>
          <w:rFonts w:ascii="Verdana" w:hAnsi="Verdana"/>
          <w:sz w:val="20"/>
          <w:szCs w:val="20"/>
          <w:lang w:val="es-ES"/>
        </w:rPr>
        <w:t xml:space="preserve">llevar a término un embarazo </w:t>
      </w:r>
      <w:r w:rsidR="00731530" w:rsidRPr="0033605D">
        <w:rPr>
          <w:rFonts w:ascii="Verdana" w:hAnsi="Verdana"/>
          <w:sz w:val="20"/>
          <w:szCs w:val="20"/>
          <w:lang w:val="es-ES"/>
        </w:rPr>
        <w:t>de un</w:t>
      </w:r>
      <w:r w:rsidR="009463C2" w:rsidRPr="0033605D">
        <w:rPr>
          <w:rFonts w:ascii="Verdana" w:hAnsi="Verdana"/>
          <w:sz w:val="20"/>
          <w:szCs w:val="20"/>
          <w:lang w:val="es-ES"/>
        </w:rPr>
        <w:t xml:space="preserve"> feto </w:t>
      </w:r>
      <w:r w:rsidR="00731530" w:rsidRPr="0033605D">
        <w:rPr>
          <w:rFonts w:ascii="Verdana" w:hAnsi="Verdana"/>
          <w:sz w:val="20"/>
          <w:szCs w:val="20"/>
          <w:lang w:val="es-ES"/>
        </w:rPr>
        <w:t xml:space="preserve">cuya vida es </w:t>
      </w:r>
      <w:r w:rsidR="009463C2" w:rsidRPr="0033605D">
        <w:rPr>
          <w:rFonts w:ascii="Verdana" w:hAnsi="Verdana"/>
          <w:sz w:val="20"/>
          <w:szCs w:val="20"/>
          <w:lang w:val="es-ES"/>
        </w:rPr>
        <w:t>inviable</w:t>
      </w:r>
      <w:r w:rsidR="00731530" w:rsidRPr="0033605D">
        <w:rPr>
          <w:rFonts w:ascii="Verdana" w:hAnsi="Verdana"/>
          <w:sz w:val="20"/>
          <w:szCs w:val="20"/>
          <w:lang w:val="es-ES"/>
        </w:rPr>
        <w:t>,</w:t>
      </w:r>
      <w:r w:rsidR="009463C2" w:rsidRPr="0033605D">
        <w:rPr>
          <w:rFonts w:ascii="Verdana" w:hAnsi="Verdana"/>
          <w:sz w:val="20"/>
          <w:szCs w:val="20"/>
          <w:lang w:val="es-ES"/>
        </w:rPr>
        <w:t xml:space="preserve"> supone </w:t>
      </w:r>
      <w:r w:rsidR="00DA5555" w:rsidRPr="0033605D">
        <w:rPr>
          <w:rFonts w:ascii="Verdana" w:hAnsi="Verdana"/>
          <w:sz w:val="20"/>
          <w:szCs w:val="20"/>
          <w:lang w:val="es-ES"/>
        </w:rPr>
        <w:t xml:space="preserve">además </w:t>
      </w:r>
      <w:r w:rsidR="009463C2" w:rsidRPr="0033605D">
        <w:rPr>
          <w:rFonts w:ascii="Verdana" w:hAnsi="Verdana"/>
          <w:sz w:val="20"/>
          <w:szCs w:val="20"/>
          <w:lang w:val="es-ES"/>
        </w:rPr>
        <w:t xml:space="preserve">un sufrimiento y angustia </w:t>
      </w:r>
      <w:r w:rsidR="00DA5555" w:rsidRPr="0033605D">
        <w:rPr>
          <w:rFonts w:ascii="Verdana" w:hAnsi="Verdana"/>
          <w:sz w:val="20"/>
          <w:szCs w:val="20"/>
          <w:lang w:val="es-ES"/>
        </w:rPr>
        <w:t>excesivas</w:t>
      </w:r>
      <w:r w:rsidR="006305BA" w:rsidRPr="0033605D">
        <w:rPr>
          <w:rFonts w:ascii="Verdana" w:hAnsi="Verdana"/>
          <w:sz w:val="20"/>
          <w:szCs w:val="20"/>
          <w:lang w:val="es-ES"/>
        </w:rPr>
        <w:t xml:space="preserve"> </w:t>
      </w:r>
      <w:r w:rsidR="000810F1" w:rsidRPr="0033605D">
        <w:rPr>
          <w:rFonts w:ascii="Verdana" w:hAnsi="Verdana"/>
          <w:sz w:val="20"/>
          <w:szCs w:val="20"/>
          <w:lang w:val="es-ES"/>
        </w:rPr>
        <w:t>-</w:t>
      </w:r>
      <w:r w:rsidR="006305BA" w:rsidRPr="0033605D">
        <w:rPr>
          <w:rFonts w:ascii="Verdana" w:hAnsi="Verdana"/>
          <w:sz w:val="20"/>
          <w:szCs w:val="20"/>
          <w:lang w:val="es-ES"/>
        </w:rPr>
        <w:t xml:space="preserve">que puede llegar a </w:t>
      </w:r>
      <w:r w:rsidR="000810F1" w:rsidRPr="0033605D">
        <w:rPr>
          <w:rFonts w:ascii="Verdana" w:hAnsi="Verdana"/>
          <w:sz w:val="20"/>
          <w:szCs w:val="20"/>
          <w:lang w:val="es-ES"/>
        </w:rPr>
        <w:t>constituir</w:t>
      </w:r>
      <w:r w:rsidR="001B2BCD" w:rsidRPr="0033605D">
        <w:rPr>
          <w:rFonts w:ascii="Verdana" w:hAnsi="Verdana"/>
          <w:sz w:val="20"/>
          <w:szCs w:val="20"/>
          <w:lang w:val="es-ES"/>
        </w:rPr>
        <w:t xml:space="preserve"> tratos crueles, inhumanos o degradantes</w:t>
      </w:r>
      <w:r w:rsidR="000810F1" w:rsidRPr="0033605D">
        <w:rPr>
          <w:rStyle w:val="Refdenotaalpie"/>
          <w:rFonts w:ascii="Verdana" w:hAnsi="Verdana"/>
          <w:sz w:val="20"/>
          <w:szCs w:val="20"/>
          <w:lang w:val="es-ES"/>
        </w:rPr>
        <w:footnoteReference w:id="56"/>
      </w:r>
      <w:r w:rsidR="000810F1" w:rsidRPr="0033605D">
        <w:rPr>
          <w:rFonts w:ascii="Verdana" w:hAnsi="Verdana"/>
          <w:sz w:val="20"/>
          <w:szCs w:val="20"/>
          <w:lang w:val="es-ES"/>
        </w:rPr>
        <w:t>-</w:t>
      </w:r>
      <w:r w:rsidR="009463C2" w:rsidRPr="0033605D">
        <w:rPr>
          <w:rFonts w:ascii="Verdana" w:hAnsi="Verdana"/>
          <w:sz w:val="20"/>
          <w:szCs w:val="20"/>
          <w:lang w:val="es-ES"/>
        </w:rPr>
        <w:t xml:space="preserve">, </w:t>
      </w:r>
      <w:r w:rsidR="00161EE1" w:rsidRPr="0033605D">
        <w:rPr>
          <w:rFonts w:ascii="Verdana" w:hAnsi="Verdana"/>
          <w:sz w:val="20"/>
          <w:szCs w:val="20"/>
          <w:lang w:val="es-ES"/>
        </w:rPr>
        <w:t xml:space="preserve">es desproporcionado, y </w:t>
      </w:r>
      <w:r w:rsidR="009463C2" w:rsidRPr="0033605D">
        <w:rPr>
          <w:rFonts w:ascii="Verdana" w:hAnsi="Verdana"/>
          <w:sz w:val="20"/>
          <w:szCs w:val="20"/>
          <w:lang w:val="es-ES"/>
        </w:rPr>
        <w:t xml:space="preserve">resulta </w:t>
      </w:r>
      <w:r w:rsidR="00DA5555" w:rsidRPr="0033605D">
        <w:rPr>
          <w:rFonts w:ascii="Verdana" w:hAnsi="Verdana"/>
          <w:sz w:val="20"/>
          <w:szCs w:val="20"/>
          <w:lang w:val="es-ES"/>
        </w:rPr>
        <w:t xml:space="preserve">en </w:t>
      </w:r>
      <w:r w:rsidR="009463C2" w:rsidRPr="0033605D">
        <w:rPr>
          <w:rFonts w:ascii="Verdana" w:hAnsi="Verdana"/>
          <w:sz w:val="20"/>
          <w:szCs w:val="20"/>
          <w:lang w:val="es-ES"/>
        </w:rPr>
        <w:t xml:space="preserve">una injerencia </w:t>
      </w:r>
      <w:r w:rsidR="009463C2" w:rsidRPr="0033605D">
        <w:rPr>
          <w:rFonts w:ascii="Verdana" w:hAnsi="Verdana"/>
          <w:sz w:val="20"/>
          <w:szCs w:val="20"/>
          <w:lang w:val="es-ES"/>
        </w:rPr>
        <w:lastRenderedPageBreak/>
        <w:t xml:space="preserve">arbitraria en la vida privada cuando </w:t>
      </w:r>
      <w:r w:rsidR="00A36A11" w:rsidRPr="0033605D">
        <w:rPr>
          <w:rFonts w:ascii="Verdana" w:hAnsi="Verdana"/>
          <w:sz w:val="20"/>
          <w:szCs w:val="20"/>
          <w:lang w:val="es-ES"/>
        </w:rPr>
        <w:t>la</w:t>
      </w:r>
      <w:r w:rsidR="00ED1AC9" w:rsidRPr="0033605D">
        <w:rPr>
          <w:rFonts w:ascii="Verdana" w:hAnsi="Verdana"/>
          <w:sz w:val="20"/>
          <w:szCs w:val="20"/>
          <w:lang w:val="es-ES"/>
        </w:rPr>
        <w:t xml:space="preserve"> voluntad </w:t>
      </w:r>
      <w:r w:rsidR="00A36A11" w:rsidRPr="0033605D">
        <w:rPr>
          <w:rFonts w:ascii="Verdana" w:hAnsi="Verdana"/>
          <w:sz w:val="20"/>
          <w:szCs w:val="20"/>
          <w:lang w:val="es-ES"/>
        </w:rPr>
        <w:t>de la madre se ha</w:t>
      </w:r>
      <w:r w:rsidR="00ED1AC9" w:rsidRPr="0033605D">
        <w:rPr>
          <w:rFonts w:ascii="Verdana" w:hAnsi="Verdana"/>
          <w:sz w:val="20"/>
          <w:szCs w:val="20"/>
          <w:lang w:val="es-ES"/>
        </w:rPr>
        <w:t xml:space="preserve"> manifestado en el sentido de querer interrumpir el embarazo. </w:t>
      </w:r>
    </w:p>
    <w:p w14:paraId="5B9F0C1E" w14:textId="01B7EE91" w:rsidR="001C5EC3" w:rsidRPr="0033605D" w:rsidRDefault="001C5EC3" w:rsidP="001C5EC3">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iCs/>
          <w:sz w:val="20"/>
          <w:szCs w:val="20"/>
          <w:lang w:val="es-ES"/>
        </w:rPr>
      </w:pPr>
      <w:r w:rsidRPr="0033605D">
        <w:rPr>
          <w:rFonts w:ascii="Verdana" w:hAnsi="Verdana"/>
          <w:sz w:val="20"/>
          <w:szCs w:val="20"/>
          <w:lang w:val="es-ES"/>
        </w:rPr>
        <w:t xml:space="preserve">Sobre el particular, el Comité de Derechos Humanos en su observación General al artículo 6 del Pacto Internacional de los Derechos Civiles y Políticos indicó que “[a]unque los </w:t>
      </w:r>
      <w:proofErr w:type="gramStart"/>
      <w:r w:rsidRPr="0033605D">
        <w:rPr>
          <w:rFonts w:ascii="Verdana" w:hAnsi="Verdana"/>
          <w:sz w:val="20"/>
          <w:szCs w:val="20"/>
          <w:lang w:val="es-ES"/>
        </w:rPr>
        <w:t>Estados partes</w:t>
      </w:r>
      <w:proofErr w:type="gramEnd"/>
      <w:r w:rsidRPr="0033605D">
        <w:rPr>
          <w:rFonts w:ascii="Verdana" w:hAnsi="Verdana"/>
          <w:sz w:val="20"/>
          <w:szCs w:val="20"/>
          <w:lang w:val="es-ES"/>
        </w:rPr>
        <w:t xml:space="preserve"> pueden adoptar medidas para regular la interrupción voluntaria del embarazo, estas no se deben traducir en la violación del derecho a la vida de la mujer o la niña embarazada, ni de los demás derechos que se les reconocen en el Pacto. Por lo tanto, las restricciones a la capacidad de las mujeres o las niñas de recurrir al aborto no deben, entre otras cosas, poner en peligro su vida ni someterlas a dolores o sufrimientos físicos o mentales de manera que se viole el artículo 7 del Pacto, ni suponer una discriminación contra ellas o una injerencia arbitraria en su vida privada. Los </w:t>
      </w:r>
      <w:proofErr w:type="gramStart"/>
      <w:r w:rsidRPr="0033605D">
        <w:rPr>
          <w:rFonts w:ascii="Verdana" w:hAnsi="Verdana"/>
          <w:sz w:val="20"/>
          <w:szCs w:val="20"/>
          <w:lang w:val="es-ES"/>
        </w:rPr>
        <w:t>Estados partes</w:t>
      </w:r>
      <w:proofErr w:type="gramEnd"/>
      <w:r w:rsidRPr="0033605D">
        <w:rPr>
          <w:rFonts w:ascii="Verdana" w:hAnsi="Verdana"/>
          <w:sz w:val="20"/>
          <w:szCs w:val="20"/>
          <w:lang w:val="es-ES"/>
        </w:rPr>
        <w:t xml:space="preserve"> deben proporcionar un acceso seguro, legal y efectivo al aborto cuando la vida y la salud de la mujer o la niña embarazada corran peligro, o cuando llevar el embarazo a término causaría dolores o sufrimientos considerables a la mujer o la niña embarazada, especialmente si el embarazo es consecuencia de una violación o incesto, o si no es viable</w:t>
      </w:r>
      <w:r w:rsidRPr="0033605D">
        <w:rPr>
          <w:rFonts w:ascii="Verdana" w:hAnsi="Verdana"/>
          <w:iCs/>
          <w:sz w:val="20"/>
          <w:szCs w:val="20"/>
          <w:lang w:val="es-ES"/>
        </w:rPr>
        <w:t>”</w:t>
      </w:r>
      <w:r w:rsidRPr="0033605D">
        <w:rPr>
          <w:rStyle w:val="Refdenotaalpie"/>
          <w:rFonts w:ascii="Verdana" w:hAnsi="Verdana"/>
          <w:iCs/>
          <w:sz w:val="20"/>
          <w:szCs w:val="20"/>
          <w:lang w:val="es-ES"/>
        </w:rPr>
        <w:footnoteReference w:id="57"/>
      </w:r>
      <w:r w:rsidRPr="0033605D">
        <w:rPr>
          <w:rFonts w:ascii="Verdana" w:hAnsi="Verdana"/>
          <w:iCs/>
          <w:sz w:val="20"/>
          <w:szCs w:val="20"/>
          <w:lang w:val="es-ES"/>
        </w:rPr>
        <w:t>.</w:t>
      </w:r>
    </w:p>
    <w:p w14:paraId="32FB1C69" w14:textId="24A952E2" w:rsidR="001727CC" w:rsidRPr="0033605D" w:rsidRDefault="001727CC" w:rsidP="001727CC">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iCs/>
          <w:sz w:val="20"/>
          <w:szCs w:val="20"/>
          <w:lang w:val="es-ES"/>
        </w:rPr>
      </w:pPr>
      <w:r w:rsidRPr="0033605D">
        <w:rPr>
          <w:rFonts w:ascii="Verdana" w:hAnsi="Verdana"/>
          <w:iCs/>
          <w:sz w:val="20"/>
          <w:szCs w:val="20"/>
          <w:lang w:val="es-ES"/>
        </w:rPr>
        <w:t xml:space="preserve">Por su parte, </w:t>
      </w:r>
      <w:r w:rsidRPr="0033605D">
        <w:rPr>
          <w:rFonts w:ascii="Verdana" w:hAnsi="Verdana"/>
          <w:iCs/>
          <w:sz w:val="20"/>
          <w:szCs w:val="20"/>
        </w:rPr>
        <w:t>Comité de Expertas del MESECVI Mecanismo de Seguimiento de la Convención de Belém do Pará ha sostenido que, “[…] el obligar a una mujer a continuar con su embarazo, especialmente cuando éste es producto de una violación, o cuando la vida o salud de la mujer está en riesgo, constituye una forma de violencia institucional, y puede constituir una forma de tortura, en violación al artículo 4 de la Convención.”</w:t>
      </w:r>
      <w:r w:rsidRPr="0033605D">
        <w:rPr>
          <w:rStyle w:val="Refdenotaalpie"/>
          <w:rFonts w:ascii="Verdana" w:hAnsi="Verdana"/>
          <w:iCs/>
          <w:sz w:val="20"/>
          <w:szCs w:val="20"/>
        </w:rPr>
        <w:footnoteReference w:id="58"/>
      </w:r>
      <w:r w:rsidRPr="0033605D">
        <w:rPr>
          <w:rFonts w:ascii="Verdana" w:hAnsi="Verdana"/>
          <w:iCs/>
          <w:sz w:val="20"/>
          <w:szCs w:val="20"/>
        </w:rPr>
        <w:t xml:space="preserve"> Igualmente ha reiterado “[…] su profunda preocupación por las leyes restrictivas en materia de aborto existentes en los Estados Partes de la Convención e insiste en que restringir el acceso a los derechos sexuales y reproductivos pone en grave peligro los derechos humanos de mujeres y niñas. Por todo esto, el Comité insiste en que los Estados deben despenalizar el aborto en los casos anteriormente señalados e implementar protocolos de atención para garantizar la vida y la salud de las mujeres que decidan interrumpir su embarazo, por ser víctimas de violencia sexual o por razones terapéuticas”</w:t>
      </w:r>
      <w:r w:rsidRPr="0033605D">
        <w:rPr>
          <w:rStyle w:val="Refdenotaalpie"/>
          <w:rFonts w:ascii="Verdana" w:hAnsi="Verdana"/>
          <w:iCs/>
          <w:sz w:val="20"/>
          <w:szCs w:val="20"/>
        </w:rPr>
        <w:footnoteReference w:id="59"/>
      </w:r>
      <w:r w:rsidRPr="0033605D">
        <w:rPr>
          <w:rFonts w:ascii="Verdana" w:hAnsi="Verdana"/>
          <w:iCs/>
          <w:sz w:val="20"/>
          <w:szCs w:val="20"/>
        </w:rPr>
        <w:t>.</w:t>
      </w:r>
      <w:r w:rsidR="0088549C" w:rsidRPr="0033605D">
        <w:rPr>
          <w:rFonts w:ascii="Verdana" w:hAnsi="Verdana"/>
          <w:iCs/>
          <w:sz w:val="20"/>
          <w:szCs w:val="20"/>
        </w:rPr>
        <w:t xml:space="preserve"> Se trata de una recomendación, que además de fundarse en la interpretación de la Convención de Belém do Pará, y a diferencia de lo que algunos quisieron alertar en el marco del caso Beatriz, responde a </w:t>
      </w:r>
      <w:r w:rsidR="0088549C" w:rsidRPr="0033605D">
        <w:rPr>
          <w:rFonts w:ascii="Verdana" w:hAnsi="Verdana"/>
          <w:sz w:val="20"/>
          <w:szCs w:val="20"/>
          <w:lang w:val="es-ES"/>
        </w:rPr>
        <w:t>una postura de consenso regional en las Américas</w:t>
      </w:r>
      <w:r w:rsidR="0088549C" w:rsidRPr="0033605D">
        <w:rPr>
          <w:rStyle w:val="Refdenotaalpie"/>
          <w:rFonts w:ascii="Verdana" w:hAnsi="Verdana"/>
          <w:sz w:val="20"/>
          <w:szCs w:val="20"/>
          <w:lang w:val="es-ES"/>
        </w:rPr>
        <w:footnoteReference w:id="60"/>
      </w:r>
      <w:r w:rsidR="0088549C" w:rsidRPr="0033605D">
        <w:rPr>
          <w:rFonts w:ascii="Verdana" w:hAnsi="Verdana"/>
          <w:sz w:val="20"/>
          <w:szCs w:val="20"/>
          <w:lang w:val="es-ES"/>
        </w:rPr>
        <w:t>.</w:t>
      </w:r>
    </w:p>
    <w:p w14:paraId="68E57BB4" w14:textId="7D37CE41" w:rsidR="001C5EC3" w:rsidRPr="0033605D" w:rsidRDefault="001C5EC3"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lastRenderedPageBreak/>
        <w:t>En segundo lugar</w:t>
      </w:r>
      <w:r w:rsidR="00ED1AC9" w:rsidRPr="0033605D">
        <w:rPr>
          <w:rFonts w:ascii="Verdana" w:hAnsi="Verdana"/>
          <w:sz w:val="20"/>
          <w:szCs w:val="20"/>
          <w:lang w:val="es-ES"/>
        </w:rPr>
        <w:t xml:space="preserve">, la imposibilidad de </w:t>
      </w:r>
      <w:r w:rsidR="00E576FE" w:rsidRPr="0033605D">
        <w:rPr>
          <w:rFonts w:ascii="Verdana" w:hAnsi="Verdana"/>
          <w:sz w:val="20"/>
          <w:szCs w:val="20"/>
          <w:lang w:val="es-ES"/>
        </w:rPr>
        <w:t xml:space="preserve">realizar la interrupción voluntaria del embarazo en </w:t>
      </w:r>
      <w:r w:rsidR="00A36A11" w:rsidRPr="0033605D">
        <w:rPr>
          <w:rFonts w:ascii="Verdana" w:hAnsi="Verdana"/>
          <w:sz w:val="20"/>
          <w:szCs w:val="20"/>
          <w:lang w:val="es-ES"/>
        </w:rPr>
        <w:t>las dos circunstancias mencionadas</w:t>
      </w:r>
      <w:r w:rsidR="00ED1AC9" w:rsidRPr="0033605D">
        <w:rPr>
          <w:rFonts w:ascii="Verdana" w:hAnsi="Verdana"/>
          <w:sz w:val="20"/>
          <w:szCs w:val="20"/>
          <w:lang w:val="es-ES"/>
        </w:rPr>
        <w:t xml:space="preserve"> </w:t>
      </w:r>
      <w:r w:rsidR="00A36A11" w:rsidRPr="0033605D">
        <w:rPr>
          <w:rFonts w:ascii="Verdana" w:hAnsi="Verdana"/>
          <w:sz w:val="20"/>
          <w:szCs w:val="20"/>
          <w:lang w:val="es-ES"/>
        </w:rPr>
        <w:t>constituye</w:t>
      </w:r>
      <w:r w:rsidR="00ED1AC9" w:rsidRPr="0033605D">
        <w:rPr>
          <w:rFonts w:ascii="Verdana" w:hAnsi="Verdana"/>
          <w:sz w:val="20"/>
          <w:szCs w:val="20"/>
          <w:lang w:val="es-ES"/>
        </w:rPr>
        <w:t xml:space="preserve"> un </w:t>
      </w:r>
      <w:r w:rsidR="00A26992" w:rsidRPr="0033605D">
        <w:rPr>
          <w:rFonts w:ascii="Verdana" w:hAnsi="Verdana"/>
          <w:sz w:val="20"/>
          <w:szCs w:val="20"/>
          <w:lang w:val="es-ES"/>
        </w:rPr>
        <w:t>acto de discriminación</w:t>
      </w:r>
      <w:r w:rsidRPr="0033605D">
        <w:rPr>
          <w:rFonts w:ascii="Verdana" w:hAnsi="Verdana"/>
          <w:sz w:val="20"/>
          <w:szCs w:val="20"/>
          <w:lang w:val="es-ES"/>
        </w:rPr>
        <w:t xml:space="preserve"> y, como consecuencia, una forma de violencia contra la mujer</w:t>
      </w:r>
      <w:r w:rsidR="000C4BCA" w:rsidRPr="0033605D">
        <w:rPr>
          <w:rFonts w:ascii="Verdana" w:hAnsi="Verdana"/>
          <w:sz w:val="20"/>
          <w:szCs w:val="20"/>
          <w:lang w:val="es-ES"/>
        </w:rPr>
        <w:t xml:space="preserve"> de la que fue víctima Beatriz</w:t>
      </w:r>
      <w:r w:rsidRPr="0033605D">
        <w:rPr>
          <w:rStyle w:val="Refdenotaalpie"/>
          <w:rFonts w:ascii="Verdana" w:hAnsi="Verdana"/>
          <w:sz w:val="20"/>
          <w:szCs w:val="20"/>
          <w:lang w:val="es-ES"/>
        </w:rPr>
        <w:footnoteReference w:id="61"/>
      </w:r>
      <w:r w:rsidRPr="0033605D">
        <w:rPr>
          <w:rFonts w:ascii="Verdana" w:hAnsi="Verdana"/>
          <w:sz w:val="20"/>
          <w:szCs w:val="20"/>
          <w:lang w:val="es-ES"/>
        </w:rPr>
        <w:t>. Esta medida impone</w:t>
      </w:r>
      <w:r w:rsidR="00A26992" w:rsidRPr="0033605D">
        <w:rPr>
          <w:rFonts w:ascii="Verdana" w:hAnsi="Verdana"/>
          <w:sz w:val="20"/>
          <w:szCs w:val="20"/>
          <w:lang w:val="es-ES"/>
        </w:rPr>
        <w:t xml:space="preserve"> sobre mujeres y niñas embarazadas </w:t>
      </w:r>
      <w:r w:rsidR="00874055" w:rsidRPr="0033605D">
        <w:rPr>
          <w:rFonts w:ascii="Verdana" w:hAnsi="Verdana"/>
          <w:sz w:val="20"/>
          <w:szCs w:val="20"/>
          <w:lang w:val="es-ES"/>
        </w:rPr>
        <w:t xml:space="preserve">unas cargas excesivas que desconocen sus derechos humanos y que </w:t>
      </w:r>
      <w:r w:rsidR="00E129DF" w:rsidRPr="0033605D">
        <w:rPr>
          <w:rFonts w:ascii="Verdana" w:hAnsi="Verdana"/>
          <w:sz w:val="20"/>
          <w:szCs w:val="20"/>
          <w:lang w:val="es-ES"/>
        </w:rPr>
        <w:t>las instrumentalizan como entes reproductivos y no como seres con autonomía y dignidad</w:t>
      </w:r>
      <w:r w:rsidR="00A75B3E" w:rsidRPr="0033605D">
        <w:rPr>
          <w:rFonts w:ascii="Verdana" w:hAnsi="Verdana"/>
          <w:sz w:val="20"/>
          <w:szCs w:val="20"/>
          <w:lang w:val="es-ES"/>
        </w:rPr>
        <w:t>.</w:t>
      </w:r>
      <w:r w:rsidR="00D6728F" w:rsidRPr="0033605D">
        <w:rPr>
          <w:rFonts w:ascii="Verdana" w:hAnsi="Verdana"/>
          <w:sz w:val="20"/>
          <w:szCs w:val="20"/>
          <w:lang w:val="es-ES"/>
        </w:rPr>
        <w:t xml:space="preserve"> </w:t>
      </w:r>
      <w:r w:rsidR="00CA5A9E" w:rsidRPr="0033605D">
        <w:rPr>
          <w:rFonts w:ascii="Verdana" w:hAnsi="Verdana"/>
          <w:sz w:val="20"/>
          <w:szCs w:val="20"/>
          <w:lang w:val="es-ES"/>
        </w:rPr>
        <w:t xml:space="preserve">Sobre este asunto, el Comité de la CEDAW ha sostenido que </w:t>
      </w:r>
      <w:r w:rsidR="00DC189B" w:rsidRPr="0033605D">
        <w:rPr>
          <w:rFonts w:ascii="Verdana" w:hAnsi="Verdana"/>
          <w:sz w:val="20"/>
          <w:szCs w:val="20"/>
          <w:lang w:val="es-ES"/>
        </w:rPr>
        <w:t>“la negativa de un Estado Parte a prever la prestación de determinados servicios de salud reproductiva a la mujer en condiciones legales resulta discriminatoria”</w:t>
      </w:r>
      <w:r w:rsidR="00340998" w:rsidRPr="0033605D">
        <w:rPr>
          <w:rStyle w:val="Refdenotaalpie"/>
          <w:rFonts w:ascii="Verdana" w:hAnsi="Verdana"/>
          <w:sz w:val="20"/>
          <w:szCs w:val="20"/>
          <w:lang w:val="es-ES"/>
        </w:rPr>
        <w:t xml:space="preserve"> </w:t>
      </w:r>
      <w:r w:rsidR="00340998" w:rsidRPr="0033605D">
        <w:rPr>
          <w:rStyle w:val="Refdenotaalpie"/>
          <w:rFonts w:ascii="Verdana" w:hAnsi="Verdana"/>
          <w:sz w:val="20"/>
          <w:szCs w:val="20"/>
          <w:lang w:val="es-ES"/>
        </w:rPr>
        <w:footnoteReference w:id="62"/>
      </w:r>
      <w:r w:rsidR="00DC189B" w:rsidRPr="0033605D">
        <w:rPr>
          <w:rFonts w:ascii="Verdana" w:hAnsi="Verdana"/>
          <w:sz w:val="20"/>
          <w:szCs w:val="20"/>
          <w:lang w:val="es-ES"/>
        </w:rPr>
        <w:t xml:space="preserve">. Además, como </w:t>
      </w:r>
      <w:r w:rsidR="00D6728F" w:rsidRPr="0033605D">
        <w:rPr>
          <w:rFonts w:ascii="Verdana" w:hAnsi="Verdana"/>
          <w:sz w:val="20"/>
          <w:szCs w:val="20"/>
          <w:lang w:val="es-ES"/>
        </w:rPr>
        <w:t>fue señalado, la Corte ya había reconocido el efecto nocivo de los estereotipos de género asociados a la maternidad que operan en los casos de criminalización de</w:t>
      </w:r>
      <w:r w:rsidR="00C915CE" w:rsidRPr="0033605D">
        <w:rPr>
          <w:rFonts w:ascii="Verdana" w:hAnsi="Verdana"/>
          <w:sz w:val="20"/>
          <w:szCs w:val="20"/>
          <w:lang w:val="es-ES"/>
        </w:rPr>
        <w:t xml:space="preserve">l aborto </w:t>
      </w:r>
      <w:r w:rsidR="00CC332C" w:rsidRPr="0033605D">
        <w:rPr>
          <w:rFonts w:ascii="Verdana" w:hAnsi="Verdana"/>
          <w:sz w:val="20"/>
          <w:szCs w:val="20"/>
          <w:lang w:val="es-ES"/>
        </w:rPr>
        <w:t>en</w:t>
      </w:r>
      <w:r w:rsidR="00C915CE" w:rsidRPr="0033605D">
        <w:rPr>
          <w:rFonts w:ascii="Verdana" w:hAnsi="Verdana"/>
          <w:sz w:val="20"/>
          <w:szCs w:val="20"/>
          <w:lang w:val="es-ES"/>
        </w:rPr>
        <w:t xml:space="preserve"> El Salvador, y en particular </w:t>
      </w:r>
      <w:r w:rsidR="00DF0E16" w:rsidRPr="0033605D">
        <w:rPr>
          <w:rFonts w:ascii="Verdana" w:hAnsi="Verdana"/>
          <w:sz w:val="20"/>
          <w:szCs w:val="20"/>
          <w:lang w:val="es-ES"/>
        </w:rPr>
        <w:t xml:space="preserve">la prohibición </w:t>
      </w:r>
      <w:r w:rsidR="00C426F6" w:rsidRPr="0033605D">
        <w:rPr>
          <w:rFonts w:ascii="Verdana" w:hAnsi="Verdana"/>
          <w:sz w:val="20"/>
          <w:szCs w:val="20"/>
          <w:lang w:val="es-ES"/>
        </w:rPr>
        <w:t>de imponer</w:t>
      </w:r>
      <w:r w:rsidR="00C915CE" w:rsidRPr="0033605D">
        <w:rPr>
          <w:rFonts w:ascii="Verdana" w:hAnsi="Verdana"/>
          <w:sz w:val="20"/>
          <w:szCs w:val="20"/>
          <w:lang w:val="es-ES"/>
        </w:rPr>
        <w:t xml:space="preserve"> a las mujeres la responsabilidad de, sin importar las circunstancias, priorizar el bienestar de sus hijos</w:t>
      </w:r>
      <w:r w:rsidR="00DF0E16" w:rsidRPr="0033605D">
        <w:rPr>
          <w:rStyle w:val="Refdenotaalpie"/>
          <w:rFonts w:ascii="Verdana" w:hAnsi="Verdana"/>
          <w:sz w:val="20"/>
          <w:szCs w:val="20"/>
          <w:lang w:val="es-ES"/>
        </w:rPr>
        <w:footnoteReference w:id="63"/>
      </w:r>
      <w:r w:rsidR="00DF0E16" w:rsidRPr="0033605D">
        <w:rPr>
          <w:rFonts w:ascii="Verdana" w:hAnsi="Verdana"/>
          <w:sz w:val="20"/>
          <w:szCs w:val="20"/>
          <w:lang w:val="es-ES"/>
        </w:rPr>
        <w:t xml:space="preserve">. </w:t>
      </w:r>
    </w:p>
    <w:p w14:paraId="431D42FD" w14:textId="42CC2D52" w:rsidR="0021016E" w:rsidRPr="0033605D" w:rsidRDefault="00A12DE0"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Además, el Tribunal había sostenido que</w:t>
      </w:r>
      <w:r w:rsidR="00C46117" w:rsidRPr="0033605D">
        <w:rPr>
          <w:rFonts w:ascii="Verdana" w:hAnsi="Verdana"/>
          <w:sz w:val="20"/>
          <w:szCs w:val="20"/>
          <w:lang w:val="es-ES"/>
        </w:rPr>
        <w:t xml:space="preserve"> la penalización de esta conducta </w:t>
      </w:r>
      <w:r w:rsidR="002E3051" w:rsidRPr="0033605D">
        <w:rPr>
          <w:rFonts w:ascii="Verdana" w:hAnsi="Verdana"/>
          <w:sz w:val="20"/>
          <w:szCs w:val="20"/>
          <w:lang w:val="es-ES"/>
        </w:rPr>
        <w:t>tiene efectos diferenciados en las mujeres que se encuentran en condición de vulnerabilidad</w:t>
      </w:r>
      <w:r w:rsidR="00905326" w:rsidRPr="0033605D">
        <w:rPr>
          <w:rFonts w:ascii="Verdana" w:hAnsi="Verdana"/>
          <w:sz w:val="20"/>
          <w:szCs w:val="20"/>
          <w:lang w:val="es-ES"/>
        </w:rPr>
        <w:t xml:space="preserve">, especialmente por motivos socioeconómicos, </w:t>
      </w:r>
      <w:r w:rsidR="00BB27C8" w:rsidRPr="0033605D">
        <w:rPr>
          <w:rFonts w:ascii="Verdana" w:hAnsi="Verdana"/>
          <w:sz w:val="20"/>
          <w:szCs w:val="20"/>
          <w:lang w:val="es-ES"/>
        </w:rPr>
        <w:t>ya que las denuncias por el delito de aborto provienen mayoritariamente de hospitales públicos</w:t>
      </w:r>
      <w:r w:rsidR="00560740" w:rsidRPr="0033605D">
        <w:rPr>
          <w:rStyle w:val="Refdenotaalpie"/>
          <w:rFonts w:ascii="Verdana" w:hAnsi="Verdana"/>
          <w:sz w:val="20"/>
          <w:szCs w:val="20"/>
          <w:lang w:val="es-ES"/>
        </w:rPr>
        <w:footnoteReference w:id="64"/>
      </w:r>
      <w:r w:rsidR="00560740" w:rsidRPr="0033605D">
        <w:rPr>
          <w:rFonts w:ascii="Verdana" w:hAnsi="Verdana"/>
          <w:sz w:val="20"/>
          <w:szCs w:val="20"/>
          <w:lang w:val="es-ES"/>
        </w:rPr>
        <w:t xml:space="preserve">. </w:t>
      </w:r>
      <w:r w:rsidR="00BB27C8" w:rsidRPr="0033605D">
        <w:rPr>
          <w:rFonts w:ascii="Verdana" w:hAnsi="Verdana"/>
          <w:sz w:val="20"/>
          <w:szCs w:val="20"/>
          <w:lang w:val="es-ES"/>
        </w:rPr>
        <w:t xml:space="preserve">En este sentido, aunque a diferencia del caso de Manuela, Beatriz no fue procesada, </w:t>
      </w:r>
      <w:r w:rsidR="0091029A" w:rsidRPr="0033605D">
        <w:rPr>
          <w:rFonts w:ascii="Verdana" w:hAnsi="Verdana"/>
          <w:sz w:val="20"/>
          <w:szCs w:val="20"/>
          <w:lang w:val="es-ES"/>
        </w:rPr>
        <w:t xml:space="preserve">fue la criminalización del aborto la causa de que no se respetara su voluntad ni </w:t>
      </w:r>
      <w:r w:rsidR="00AB10BA" w:rsidRPr="0033605D">
        <w:rPr>
          <w:rFonts w:ascii="Verdana" w:hAnsi="Verdana"/>
          <w:sz w:val="20"/>
          <w:szCs w:val="20"/>
          <w:lang w:val="es-ES"/>
        </w:rPr>
        <w:t>se le diera la atención en salud requerida</w:t>
      </w:r>
      <w:r w:rsidR="003E444A" w:rsidRPr="0033605D">
        <w:rPr>
          <w:rFonts w:ascii="Verdana" w:hAnsi="Verdana"/>
          <w:sz w:val="20"/>
          <w:szCs w:val="20"/>
          <w:lang w:val="es-ES"/>
        </w:rPr>
        <w:t xml:space="preserve"> para proteger su vida e integridad</w:t>
      </w:r>
      <w:r w:rsidR="00AB10BA" w:rsidRPr="0033605D">
        <w:rPr>
          <w:rFonts w:ascii="Verdana" w:hAnsi="Verdana"/>
          <w:sz w:val="20"/>
          <w:szCs w:val="20"/>
          <w:lang w:val="es-ES"/>
        </w:rPr>
        <w:t>, lo que posiblemente no habría ocurrido si hubiera podido acceder a un hospital privado</w:t>
      </w:r>
      <w:r w:rsidR="00560740" w:rsidRPr="0033605D">
        <w:rPr>
          <w:rFonts w:ascii="Verdana" w:hAnsi="Verdana"/>
          <w:sz w:val="20"/>
          <w:szCs w:val="20"/>
          <w:lang w:val="es-ES"/>
        </w:rPr>
        <w:t>.</w:t>
      </w:r>
      <w:r w:rsidR="00AB10BA" w:rsidRPr="0033605D">
        <w:rPr>
          <w:rFonts w:ascii="Verdana" w:hAnsi="Verdana"/>
          <w:sz w:val="20"/>
          <w:szCs w:val="20"/>
          <w:lang w:val="es-ES"/>
        </w:rPr>
        <w:t xml:space="preserve"> </w:t>
      </w:r>
      <w:r w:rsidR="00A51FEB" w:rsidRPr="0033605D">
        <w:rPr>
          <w:rFonts w:ascii="Verdana" w:hAnsi="Verdana"/>
          <w:sz w:val="20"/>
          <w:szCs w:val="20"/>
          <w:lang w:val="es-ES"/>
        </w:rPr>
        <w:t xml:space="preserve">En ese sentido, </w:t>
      </w:r>
      <w:r w:rsidR="006D3785" w:rsidRPr="0033605D">
        <w:rPr>
          <w:rFonts w:ascii="Verdana" w:hAnsi="Verdana"/>
          <w:sz w:val="20"/>
          <w:szCs w:val="20"/>
          <w:lang w:val="es-ES"/>
        </w:rPr>
        <w:t>considero necesario llamar la atención sobre el hecho de que</w:t>
      </w:r>
      <w:r w:rsidR="001974AB" w:rsidRPr="0033605D">
        <w:rPr>
          <w:rFonts w:ascii="Verdana" w:hAnsi="Verdana"/>
          <w:sz w:val="20"/>
          <w:szCs w:val="20"/>
          <w:lang w:val="es-ES"/>
        </w:rPr>
        <w:t xml:space="preserve"> la interrupción voluntaria del embarazo pone en una situación de especial riesgo a las mujeres </w:t>
      </w:r>
      <w:r w:rsidR="00D2268F" w:rsidRPr="0033605D">
        <w:rPr>
          <w:rFonts w:ascii="Verdana" w:hAnsi="Verdana"/>
          <w:sz w:val="20"/>
          <w:szCs w:val="20"/>
          <w:lang w:val="es-ES"/>
        </w:rPr>
        <w:t xml:space="preserve">más vulnerables. Así, </w:t>
      </w:r>
      <w:r w:rsidR="00360D70" w:rsidRPr="0033605D">
        <w:rPr>
          <w:rFonts w:ascii="Verdana" w:hAnsi="Verdana"/>
          <w:sz w:val="20"/>
          <w:szCs w:val="20"/>
          <w:lang w:val="es-ES"/>
        </w:rPr>
        <w:t>“[e]l aborto practicado en condiciones de riesgo ocupa el tercer lugar entre las principales causas de muerte materna en todo el mundo. Cuando el aborto está restringido por ley, la mortalidad materna aumenta, pues las mujeres se ven obligadas a someterse a abortos clandestinos en condiciones peligrosas y antihigiénicas”</w:t>
      </w:r>
      <w:r w:rsidR="00360D70" w:rsidRPr="0033605D">
        <w:rPr>
          <w:rStyle w:val="Refdenotaalpie"/>
          <w:rFonts w:ascii="Verdana" w:hAnsi="Verdana"/>
          <w:sz w:val="20"/>
          <w:szCs w:val="20"/>
          <w:lang w:val="es-ES"/>
        </w:rPr>
        <w:footnoteReference w:id="65"/>
      </w:r>
      <w:r w:rsidR="00360D70" w:rsidRPr="0033605D">
        <w:rPr>
          <w:rFonts w:ascii="Verdana" w:hAnsi="Verdana"/>
          <w:sz w:val="20"/>
          <w:szCs w:val="20"/>
          <w:lang w:val="es-ES"/>
        </w:rPr>
        <w:t>.</w:t>
      </w:r>
      <w:r w:rsidR="001C5EC3" w:rsidRPr="0033605D">
        <w:rPr>
          <w:rFonts w:ascii="Verdana" w:hAnsi="Verdana"/>
          <w:sz w:val="20"/>
          <w:szCs w:val="20"/>
          <w:lang w:val="es-ES"/>
        </w:rPr>
        <w:t xml:space="preserve"> </w:t>
      </w:r>
    </w:p>
    <w:p w14:paraId="0E5E3D06" w14:textId="748C8391" w:rsidR="003E444A" w:rsidRPr="0033605D" w:rsidRDefault="001C5EC3" w:rsidP="006D3927">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iCs/>
          <w:sz w:val="20"/>
          <w:szCs w:val="20"/>
          <w:lang w:val="es-ES"/>
        </w:rPr>
      </w:pPr>
      <w:r w:rsidRPr="0033605D">
        <w:rPr>
          <w:rFonts w:ascii="Verdana" w:hAnsi="Verdana"/>
          <w:iCs/>
          <w:sz w:val="20"/>
          <w:szCs w:val="20"/>
        </w:rPr>
        <w:t>En este sentido</w:t>
      </w:r>
      <w:r w:rsidR="003E444A" w:rsidRPr="0033605D">
        <w:rPr>
          <w:rFonts w:ascii="Verdana" w:hAnsi="Verdana"/>
          <w:iCs/>
          <w:sz w:val="20"/>
          <w:szCs w:val="20"/>
        </w:rPr>
        <w:t xml:space="preserve">, en su </w:t>
      </w:r>
      <w:r w:rsidR="0088549C" w:rsidRPr="0033605D">
        <w:rPr>
          <w:rFonts w:ascii="Verdana" w:hAnsi="Verdana"/>
          <w:iCs/>
          <w:sz w:val="20"/>
          <w:szCs w:val="20"/>
        </w:rPr>
        <w:t>Recomendación</w:t>
      </w:r>
      <w:r w:rsidR="003E444A" w:rsidRPr="0033605D">
        <w:rPr>
          <w:rFonts w:ascii="Verdana" w:hAnsi="Verdana"/>
          <w:iCs/>
          <w:sz w:val="20"/>
          <w:szCs w:val="20"/>
        </w:rPr>
        <w:t xml:space="preserve"> </w:t>
      </w:r>
      <w:r w:rsidRPr="0033605D">
        <w:rPr>
          <w:rFonts w:ascii="Verdana" w:hAnsi="Verdana"/>
          <w:iCs/>
          <w:sz w:val="20"/>
          <w:szCs w:val="20"/>
        </w:rPr>
        <w:t>G</w:t>
      </w:r>
      <w:r w:rsidR="003E444A" w:rsidRPr="0033605D">
        <w:rPr>
          <w:rFonts w:ascii="Verdana" w:hAnsi="Verdana"/>
          <w:iCs/>
          <w:sz w:val="20"/>
          <w:szCs w:val="20"/>
        </w:rPr>
        <w:t xml:space="preserve">eneral 35 el Comité </w:t>
      </w:r>
      <w:r w:rsidRPr="0033605D">
        <w:rPr>
          <w:rFonts w:ascii="Verdana" w:hAnsi="Verdana"/>
          <w:iCs/>
          <w:sz w:val="20"/>
          <w:szCs w:val="20"/>
        </w:rPr>
        <w:t xml:space="preserve">CEDAW </w:t>
      </w:r>
      <w:r w:rsidR="003E444A" w:rsidRPr="0033605D">
        <w:rPr>
          <w:rFonts w:ascii="Verdana" w:hAnsi="Verdana"/>
          <w:iCs/>
          <w:sz w:val="20"/>
          <w:szCs w:val="20"/>
        </w:rPr>
        <w:t xml:space="preserve">recomendó medidas legislativas para avanzar en la erradicación de la violencia y discriminación contra la mujer, dentro de las que se encuentra “[…] c) Derogar, también en las leyes consuetudinarias, religiosas e indígenas, todas las disposiciones jurídicas que discriminan a la mujer y, de ese modo, consagran, alientan, facilitan, justifican o toleran toda forma de violencia por razón de género. En particular, se recomienda derogar lo siguiente: </w:t>
      </w:r>
      <w:r w:rsidRPr="0033605D">
        <w:rPr>
          <w:rFonts w:ascii="Verdana" w:hAnsi="Verdana"/>
          <w:iCs/>
          <w:sz w:val="20"/>
          <w:szCs w:val="20"/>
        </w:rPr>
        <w:t>[…]</w:t>
      </w:r>
      <w:r w:rsidR="003E444A" w:rsidRPr="0033605D">
        <w:rPr>
          <w:rFonts w:ascii="Verdana" w:hAnsi="Verdana"/>
          <w:iCs/>
          <w:sz w:val="20"/>
          <w:szCs w:val="20"/>
        </w:rPr>
        <w:t xml:space="preserve"> las disposiciones que penalicen el aborto </w:t>
      </w:r>
      <w:r w:rsidR="001727CC" w:rsidRPr="0033605D">
        <w:rPr>
          <w:rFonts w:ascii="Verdana" w:hAnsi="Verdana"/>
          <w:iCs/>
          <w:sz w:val="20"/>
          <w:szCs w:val="20"/>
        </w:rPr>
        <w:t xml:space="preserve">[…] </w:t>
      </w:r>
      <w:r w:rsidR="003E444A" w:rsidRPr="0033605D">
        <w:rPr>
          <w:rFonts w:ascii="Verdana" w:hAnsi="Verdana"/>
          <w:iCs/>
          <w:sz w:val="20"/>
          <w:szCs w:val="20"/>
        </w:rPr>
        <w:t xml:space="preserve">o cualquier otra disposición </w:t>
      </w:r>
      <w:r w:rsidR="003E444A" w:rsidRPr="0033605D">
        <w:rPr>
          <w:rFonts w:ascii="Verdana" w:hAnsi="Verdana"/>
          <w:iCs/>
          <w:sz w:val="20"/>
          <w:szCs w:val="20"/>
        </w:rPr>
        <w:lastRenderedPageBreak/>
        <w:t>penal que afecte a las mujeres de manera desproporcionada, en particular aquellas que conlleven la aplicación discriminatoria de la pena capital a las mujeres”</w:t>
      </w:r>
      <w:r w:rsidRPr="0033605D">
        <w:rPr>
          <w:rStyle w:val="Refdenotaalpie"/>
          <w:rFonts w:ascii="Verdana" w:hAnsi="Verdana"/>
          <w:iCs/>
          <w:sz w:val="20"/>
          <w:szCs w:val="20"/>
        </w:rPr>
        <w:footnoteReference w:id="66"/>
      </w:r>
      <w:r w:rsidR="003E444A" w:rsidRPr="0033605D">
        <w:rPr>
          <w:rFonts w:ascii="Verdana" w:hAnsi="Verdana"/>
          <w:iCs/>
          <w:sz w:val="20"/>
          <w:szCs w:val="20"/>
        </w:rPr>
        <w:t xml:space="preserve">. </w:t>
      </w:r>
    </w:p>
    <w:p w14:paraId="622FFBD3" w14:textId="39F8C5B3" w:rsidR="00DA5555" w:rsidRPr="0033605D" w:rsidRDefault="00255462"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rPr>
      </w:pPr>
      <w:r w:rsidRPr="0033605D">
        <w:rPr>
          <w:rFonts w:ascii="Verdana" w:hAnsi="Verdana"/>
          <w:sz w:val="20"/>
          <w:szCs w:val="20"/>
          <w:lang w:val="es-ES"/>
        </w:rPr>
        <w:t xml:space="preserve">Finalmente, </w:t>
      </w:r>
      <w:r w:rsidR="0051242D" w:rsidRPr="0033605D">
        <w:rPr>
          <w:rFonts w:ascii="Verdana" w:hAnsi="Verdana"/>
          <w:sz w:val="20"/>
          <w:szCs w:val="20"/>
          <w:lang w:val="es-ES"/>
        </w:rPr>
        <w:t xml:space="preserve">la penalización de una conducta que </w:t>
      </w:r>
      <w:r w:rsidR="007C07E3" w:rsidRPr="0033605D">
        <w:rPr>
          <w:rFonts w:ascii="Verdana" w:hAnsi="Verdana"/>
          <w:sz w:val="20"/>
          <w:szCs w:val="20"/>
          <w:lang w:val="es-ES"/>
        </w:rPr>
        <w:t xml:space="preserve">ha sido reconocida </w:t>
      </w:r>
      <w:r w:rsidR="00B472AC" w:rsidRPr="0033605D">
        <w:rPr>
          <w:rFonts w:ascii="Verdana" w:hAnsi="Verdana"/>
          <w:sz w:val="20"/>
          <w:szCs w:val="20"/>
          <w:lang w:val="es-ES"/>
        </w:rPr>
        <w:t xml:space="preserve">por </w:t>
      </w:r>
      <w:r w:rsidR="007C07E3" w:rsidRPr="0033605D">
        <w:rPr>
          <w:rFonts w:ascii="Verdana" w:hAnsi="Verdana"/>
          <w:sz w:val="20"/>
          <w:szCs w:val="20"/>
          <w:lang w:val="es-ES"/>
        </w:rPr>
        <w:t>estándares médicos</w:t>
      </w:r>
      <w:r w:rsidR="00B023CA" w:rsidRPr="0033605D">
        <w:rPr>
          <w:rFonts w:ascii="Verdana" w:hAnsi="Verdana"/>
          <w:sz w:val="20"/>
          <w:szCs w:val="20"/>
          <w:lang w:val="es-ES"/>
        </w:rPr>
        <w:t xml:space="preserve"> internacionales</w:t>
      </w:r>
      <w:r w:rsidR="00B472AC" w:rsidRPr="0033605D">
        <w:rPr>
          <w:rFonts w:ascii="Verdana" w:hAnsi="Verdana"/>
          <w:sz w:val="20"/>
          <w:szCs w:val="20"/>
          <w:lang w:val="es-ES"/>
        </w:rPr>
        <w:t>,</w:t>
      </w:r>
      <w:r w:rsidR="007C07E3" w:rsidRPr="0033605D">
        <w:rPr>
          <w:rFonts w:ascii="Verdana" w:hAnsi="Verdana"/>
          <w:sz w:val="20"/>
          <w:szCs w:val="20"/>
          <w:lang w:val="es-ES"/>
        </w:rPr>
        <w:t xml:space="preserve"> como un </w:t>
      </w:r>
      <w:r w:rsidR="003F5E11" w:rsidRPr="0033605D">
        <w:rPr>
          <w:rFonts w:ascii="Verdana" w:hAnsi="Verdana"/>
          <w:sz w:val="20"/>
          <w:szCs w:val="20"/>
          <w:lang w:val="es-ES"/>
        </w:rPr>
        <w:t>servicio esencial de salud sexual y reproductiva, es</w:t>
      </w:r>
      <w:r w:rsidR="0051242D" w:rsidRPr="0033605D">
        <w:rPr>
          <w:rFonts w:ascii="Verdana" w:hAnsi="Verdana"/>
          <w:sz w:val="20"/>
          <w:szCs w:val="20"/>
          <w:lang w:val="es-ES"/>
        </w:rPr>
        <w:t xml:space="preserve"> contraria a la obligación de garantizar </w:t>
      </w:r>
      <w:r w:rsidR="003F5E11" w:rsidRPr="0033605D">
        <w:rPr>
          <w:rFonts w:ascii="Verdana" w:hAnsi="Verdana"/>
          <w:sz w:val="20"/>
          <w:szCs w:val="20"/>
          <w:lang w:val="es-ES"/>
        </w:rPr>
        <w:t>los derechos a la vida y la</w:t>
      </w:r>
      <w:r w:rsidR="0051242D" w:rsidRPr="0033605D">
        <w:rPr>
          <w:rFonts w:ascii="Verdana" w:hAnsi="Verdana"/>
          <w:sz w:val="20"/>
          <w:szCs w:val="20"/>
          <w:lang w:val="es-ES"/>
        </w:rPr>
        <w:t xml:space="preserve"> integridad persona</w:t>
      </w:r>
      <w:r w:rsidR="003F5E11" w:rsidRPr="0033605D">
        <w:rPr>
          <w:rFonts w:ascii="Verdana" w:hAnsi="Verdana"/>
          <w:sz w:val="20"/>
          <w:szCs w:val="20"/>
          <w:lang w:val="es-ES"/>
        </w:rPr>
        <w:t>l en conexidad con el derecho a la salud</w:t>
      </w:r>
      <w:r w:rsidR="000C4BCA" w:rsidRPr="0033605D">
        <w:rPr>
          <w:rFonts w:ascii="Verdana" w:hAnsi="Verdana"/>
          <w:sz w:val="20"/>
          <w:szCs w:val="20"/>
          <w:lang w:val="es-ES"/>
        </w:rPr>
        <w:t xml:space="preserve"> y afectó a Beatriz</w:t>
      </w:r>
      <w:r w:rsidR="00B023CA" w:rsidRPr="0033605D">
        <w:rPr>
          <w:rStyle w:val="Refdenotaalpie"/>
          <w:rFonts w:ascii="Verdana" w:hAnsi="Verdana"/>
          <w:sz w:val="20"/>
          <w:szCs w:val="20"/>
          <w:lang w:val="es-ES"/>
        </w:rPr>
        <w:footnoteReference w:id="67"/>
      </w:r>
      <w:r w:rsidR="0051242D" w:rsidRPr="0033605D">
        <w:rPr>
          <w:rFonts w:ascii="Verdana" w:hAnsi="Verdana"/>
          <w:sz w:val="20"/>
          <w:szCs w:val="20"/>
          <w:lang w:val="es-ES"/>
        </w:rPr>
        <w:t xml:space="preserve">. En efecto, </w:t>
      </w:r>
      <w:r w:rsidR="002618BC" w:rsidRPr="0033605D">
        <w:rPr>
          <w:rFonts w:ascii="Verdana" w:hAnsi="Verdana"/>
          <w:sz w:val="20"/>
          <w:szCs w:val="20"/>
          <w:lang w:val="es-ES"/>
        </w:rPr>
        <w:t>como ha señalado la Corte</w:t>
      </w:r>
      <w:r w:rsidR="00DA5555" w:rsidRPr="0033605D">
        <w:rPr>
          <w:rFonts w:ascii="Verdana" w:hAnsi="Verdana"/>
          <w:sz w:val="20"/>
          <w:szCs w:val="20"/>
          <w:lang w:val="es-ES"/>
        </w:rPr>
        <w:t>,</w:t>
      </w:r>
      <w:r w:rsidR="002618BC" w:rsidRPr="0033605D">
        <w:rPr>
          <w:rFonts w:ascii="Verdana" w:hAnsi="Verdana"/>
          <w:sz w:val="20"/>
          <w:szCs w:val="20"/>
          <w:lang w:val="es-ES"/>
        </w:rPr>
        <w:t xml:space="preserve"> </w:t>
      </w:r>
      <w:r w:rsidR="0051242D" w:rsidRPr="0033605D">
        <w:rPr>
          <w:rFonts w:ascii="Verdana" w:hAnsi="Verdana"/>
          <w:sz w:val="20"/>
          <w:szCs w:val="20"/>
        </w:rPr>
        <w:t>el acto médico, entendido como los actos de diagnóstico</w:t>
      </w:r>
      <w:r w:rsidR="00FA03DB" w:rsidRPr="0033605D">
        <w:rPr>
          <w:rFonts w:ascii="Verdana" w:hAnsi="Verdana"/>
          <w:sz w:val="20"/>
          <w:szCs w:val="20"/>
        </w:rPr>
        <w:t xml:space="preserve"> y</w:t>
      </w:r>
      <w:r w:rsidR="0051242D" w:rsidRPr="0033605D">
        <w:rPr>
          <w:rFonts w:ascii="Verdana" w:hAnsi="Verdana"/>
          <w:sz w:val="20"/>
          <w:szCs w:val="20"/>
        </w:rPr>
        <w:t xml:space="preserve"> </w:t>
      </w:r>
      <w:r w:rsidR="00FA03DB" w:rsidRPr="0033605D">
        <w:rPr>
          <w:rFonts w:ascii="Verdana" w:hAnsi="Verdana"/>
          <w:sz w:val="20"/>
          <w:szCs w:val="20"/>
        </w:rPr>
        <w:t>tratamiento</w:t>
      </w:r>
      <w:r w:rsidR="0051242D" w:rsidRPr="0033605D">
        <w:rPr>
          <w:rFonts w:ascii="Verdana" w:hAnsi="Verdana"/>
          <w:sz w:val="20"/>
          <w:szCs w:val="20"/>
        </w:rPr>
        <w:t xml:space="preserve"> que realiza el médico en la atención integral de pacientes, no sólo </w:t>
      </w:r>
      <w:r w:rsidR="00FA03DB" w:rsidRPr="0033605D">
        <w:rPr>
          <w:rFonts w:ascii="Verdana" w:hAnsi="Verdana"/>
          <w:sz w:val="20"/>
          <w:szCs w:val="20"/>
        </w:rPr>
        <w:t>son “</w:t>
      </w:r>
      <w:r w:rsidR="0051242D" w:rsidRPr="0033605D">
        <w:rPr>
          <w:rFonts w:ascii="Verdana" w:hAnsi="Verdana"/>
          <w:sz w:val="20"/>
          <w:szCs w:val="20"/>
        </w:rPr>
        <w:t xml:space="preserve">un acto esencialmente </w:t>
      </w:r>
      <w:r w:rsidR="00C426F6" w:rsidRPr="0033605D">
        <w:rPr>
          <w:rFonts w:ascii="Verdana" w:hAnsi="Verdana"/>
          <w:sz w:val="20"/>
          <w:szCs w:val="20"/>
        </w:rPr>
        <w:t>lícito,</w:t>
      </w:r>
      <w:r w:rsidR="0051242D" w:rsidRPr="0033605D">
        <w:rPr>
          <w:rFonts w:ascii="Verdana" w:hAnsi="Verdana"/>
          <w:sz w:val="20"/>
          <w:szCs w:val="20"/>
        </w:rPr>
        <w:t xml:space="preserve"> sino que es un deber de un médico el prestarlo</w:t>
      </w:r>
      <w:r w:rsidR="00B023CA" w:rsidRPr="0033605D">
        <w:rPr>
          <w:rFonts w:ascii="Verdana" w:hAnsi="Verdana"/>
          <w:sz w:val="20"/>
          <w:szCs w:val="20"/>
        </w:rPr>
        <w:t>[s]</w:t>
      </w:r>
      <w:r w:rsidR="0051242D" w:rsidRPr="0033605D">
        <w:rPr>
          <w:rFonts w:ascii="Verdana" w:hAnsi="Verdana"/>
          <w:sz w:val="20"/>
          <w:szCs w:val="20"/>
        </w:rPr>
        <w:t>”</w:t>
      </w:r>
      <w:r w:rsidR="0051242D" w:rsidRPr="0033605D">
        <w:rPr>
          <w:rStyle w:val="Refdenotaalpie"/>
          <w:rFonts w:ascii="Verdana" w:hAnsi="Verdana"/>
          <w:sz w:val="20"/>
          <w:szCs w:val="20"/>
        </w:rPr>
        <w:footnoteReference w:id="68"/>
      </w:r>
      <w:r w:rsidR="0051242D" w:rsidRPr="0033605D">
        <w:rPr>
          <w:rFonts w:ascii="Verdana" w:hAnsi="Verdana"/>
          <w:sz w:val="20"/>
          <w:szCs w:val="20"/>
        </w:rPr>
        <w:t>.</w:t>
      </w:r>
      <w:r w:rsidR="002618BC" w:rsidRPr="0033605D">
        <w:rPr>
          <w:rFonts w:ascii="Verdana" w:hAnsi="Verdana"/>
          <w:sz w:val="20"/>
          <w:szCs w:val="20"/>
        </w:rPr>
        <w:t xml:space="preserve"> </w:t>
      </w:r>
      <w:r w:rsidR="00B472AC" w:rsidRPr="0033605D">
        <w:rPr>
          <w:rFonts w:ascii="Verdana" w:hAnsi="Verdana"/>
          <w:sz w:val="20"/>
          <w:szCs w:val="20"/>
        </w:rPr>
        <w:t xml:space="preserve">Las mujeres tienen derecho a recibir una atención </w:t>
      </w:r>
      <w:r w:rsidR="00260538" w:rsidRPr="0033605D">
        <w:rPr>
          <w:rFonts w:ascii="Verdana" w:hAnsi="Verdana"/>
          <w:sz w:val="20"/>
          <w:szCs w:val="20"/>
        </w:rPr>
        <w:t xml:space="preserve">de salud </w:t>
      </w:r>
      <w:r w:rsidR="00B123AD" w:rsidRPr="0033605D">
        <w:rPr>
          <w:rFonts w:ascii="Verdana" w:hAnsi="Verdana"/>
          <w:sz w:val="20"/>
          <w:szCs w:val="20"/>
          <w:lang w:val="es-ES"/>
        </w:rPr>
        <w:t>adecuad</w:t>
      </w:r>
      <w:r w:rsidR="00260538" w:rsidRPr="0033605D">
        <w:rPr>
          <w:rFonts w:ascii="Verdana" w:hAnsi="Verdana"/>
          <w:sz w:val="20"/>
          <w:szCs w:val="20"/>
          <w:lang w:val="es-ES"/>
        </w:rPr>
        <w:t>a</w:t>
      </w:r>
      <w:r w:rsidR="00B123AD" w:rsidRPr="0033605D">
        <w:rPr>
          <w:rFonts w:ascii="Verdana" w:hAnsi="Verdana"/>
          <w:sz w:val="20"/>
          <w:szCs w:val="20"/>
          <w:lang w:val="es-ES"/>
        </w:rPr>
        <w:t>, especializad</w:t>
      </w:r>
      <w:r w:rsidR="00260538" w:rsidRPr="0033605D">
        <w:rPr>
          <w:rFonts w:ascii="Verdana" w:hAnsi="Verdana"/>
          <w:sz w:val="20"/>
          <w:szCs w:val="20"/>
          <w:lang w:val="es-ES"/>
        </w:rPr>
        <w:t>a</w:t>
      </w:r>
      <w:r w:rsidR="00B123AD" w:rsidRPr="0033605D">
        <w:rPr>
          <w:rFonts w:ascii="Verdana" w:hAnsi="Verdana"/>
          <w:sz w:val="20"/>
          <w:szCs w:val="20"/>
          <w:lang w:val="es-ES"/>
        </w:rPr>
        <w:t xml:space="preserve"> y diferenciad</w:t>
      </w:r>
      <w:r w:rsidR="00260538" w:rsidRPr="0033605D">
        <w:rPr>
          <w:rFonts w:ascii="Verdana" w:hAnsi="Verdana"/>
          <w:sz w:val="20"/>
          <w:szCs w:val="20"/>
          <w:lang w:val="es-ES"/>
        </w:rPr>
        <w:t>a</w:t>
      </w:r>
      <w:r w:rsidR="00B123AD" w:rsidRPr="0033605D">
        <w:rPr>
          <w:rFonts w:ascii="Verdana" w:hAnsi="Verdana"/>
          <w:sz w:val="20"/>
          <w:szCs w:val="20"/>
          <w:lang w:val="es-ES"/>
        </w:rPr>
        <w:t xml:space="preserve"> </w:t>
      </w:r>
      <w:r w:rsidR="00260538" w:rsidRPr="0033605D">
        <w:rPr>
          <w:rFonts w:ascii="Verdana" w:hAnsi="Verdana"/>
          <w:sz w:val="20"/>
          <w:szCs w:val="20"/>
          <w:lang w:val="es-ES"/>
        </w:rPr>
        <w:t>“dur</w:t>
      </w:r>
      <w:r w:rsidR="00B123AD" w:rsidRPr="0033605D">
        <w:rPr>
          <w:rFonts w:ascii="Verdana" w:hAnsi="Verdana"/>
          <w:sz w:val="20"/>
          <w:szCs w:val="20"/>
          <w:lang w:val="es-ES"/>
        </w:rPr>
        <w:t>ante el embarazo, parto y en un periodo razonable después del parto</w:t>
      </w:r>
      <w:r w:rsidR="00260538" w:rsidRPr="0033605D">
        <w:rPr>
          <w:rFonts w:ascii="Verdana" w:hAnsi="Verdana"/>
          <w:sz w:val="20"/>
          <w:szCs w:val="20"/>
          <w:lang w:val="es-ES"/>
        </w:rPr>
        <w:t xml:space="preserve"> para garantizar el derecho a la salud de la madre y prevenir la mortalidad y morbilidad materna”</w:t>
      </w:r>
      <w:r w:rsidR="00260538" w:rsidRPr="0033605D">
        <w:rPr>
          <w:rStyle w:val="Refdenotaalpie"/>
          <w:rFonts w:ascii="Verdana" w:hAnsi="Verdana"/>
          <w:sz w:val="20"/>
          <w:szCs w:val="20"/>
          <w:lang w:val="es-ES"/>
        </w:rPr>
        <w:footnoteReference w:id="69"/>
      </w:r>
      <w:r w:rsidR="00260538" w:rsidRPr="0033605D">
        <w:rPr>
          <w:rFonts w:ascii="Verdana" w:hAnsi="Verdana"/>
          <w:sz w:val="20"/>
          <w:szCs w:val="20"/>
          <w:lang w:val="es-ES"/>
        </w:rPr>
        <w:t xml:space="preserve">, </w:t>
      </w:r>
      <w:r w:rsidR="00B472AC" w:rsidRPr="0033605D">
        <w:rPr>
          <w:rFonts w:ascii="Verdana" w:hAnsi="Verdana"/>
          <w:sz w:val="20"/>
          <w:szCs w:val="20"/>
        </w:rPr>
        <w:t>lo cual incluye</w:t>
      </w:r>
      <w:r w:rsidR="00DA5555" w:rsidRPr="0033605D">
        <w:rPr>
          <w:rFonts w:ascii="Verdana" w:hAnsi="Verdana"/>
          <w:sz w:val="20"/>
          <w:szCs w:val="20"/>
        </w:rPr>
        <w:t xml:space="preserve"> no solo en mi criterio</w:t>
      </w:r>
      <w:r w:rsidR="00574134" w:rsidRPr="0033605D">
        <w:rPr>
          <w:rFonts w:ascii="Verdana" w:hAnsi="Verdana"/>
          <w:sz w:val="20"/>
          <w:szCs w:val="20"/>
        </w:rPr>
        <w:t>,</w:t>
      </w:r>
      <w:r w:rsidR="00DA5555" w:rsidRPr="0033605D">
        <w:rPr>
          <w:rFonts w:ascii="Verdana" w:hAnsi="Verdana"/>
          <w:sz w:val="20"/>
          <w:szCs w:val="20"/>
        </w:rPr>
        <w:t xml:space="preserve"> sino en el de órganos especializados de Naciones Unidas</w:t>
      </w:r>
      <w:r w:rsidR="00B472AC" w:rsidRPr="0033605D">
        <w:rPr>
          <w:rFonts w:ascii="Verdana" w:hAnsi="Verdana"/>
          <w:sz w:val="20"/>
          <w:szCs w:val="20"/>
        </w:rPr>
        <w:t xml:space="preserve">, la posibilidad de interrumpir el embarazo cuando sea necesario para proteger </w:t>
      </w:r>
      <w:r w:rsidR="001C5EC3" w:rsidRPr="0033605D">
        <w:rPr>
          <w:rFonts w:ascii="Verdana" w:hAnsi="Verdana"/>
          <w:sz w:val="20"/>
          <w:szCs w:val="20"/>
        </w:rPr>
        <w:t>la</w:t>
      </w:r>
      <w:r w:rsidR="00B472AC" w:rsidRPr="0033605D">
        <w:rPr>
          <w:rFonts w:ascii="Verdana" w:hAnsi="Verdana"/>
          <w:sz w:val="20"/>
          <w:szCs w:val="20"/>
        </w:rPr>
        <w:t xml:space="preserve"> vida e integridad </w:t>
      </w:r>
      <w:r w:rsidR="00DA5555" w:rsidRPr="0033605D">
        <w:rPr>
          <w:rFonts w:ascii="Verdana" w:hAnsi="Verdana"/>
          <w:sz w:val="20"/>
          <w:szCs w:val="20"/>
        </w:rPr>
        <w:t xml:space="preserve">de la mujer </w:t>
      </w:r>
      <w:r w:rsidR="00B472AC" w:rsidRPr="0033605D">
        <w:rPr>
          <w:rFonts w:ascii="Verdana" w:hAnsi="Verdana"/>
          <w:sz w:val="20"/>
          <w:szCs w:val="20"/>
        </w:rPr>
        <w:t>o cuando la vida extrauterina del feto sea inviable</w:t>
      </w:r>
      <w:r w:rsidR="00260538" w:rsidRPr="0033605D">
        <w:rPr>
          <w:rStyle w:val="Refdenotaalpie"/>
          <w:rFonts w:ascii="Verdana" w:hAnsi="Verdana"/>
          <w:sz w:val="20"/>
          <w:szCs w:val="20"/>
        </w:rPr>
        <w:footnoteReference w:id="70"/>
      </w:r>
      <w:r w:rsidR="00B472AC" w:rsidRPr="0033605D">
        <w:rPr>
          <w:rFonts w:ascii="Verdana" w:hAnsi="Verdana"/>
          <w:sz w:val="20"/>
          <w:szCs w:val="20"/>
        </w:rPr>
        <w:t xml:space="preserve">. </w:t>
      </w:r>
    </w:p>
    <w:p w14:paraId="3551379C" w14:textId="72252EF8" w:rsidR="00BC08CB" w:rsidRPr="0033605D" w:rsidRDefault="002447D6"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rPr>
      </w:pPr>
      <w:r w:rsidRPr="0033605D">
        <w:rPr>
          <w:rFonts w:ascii="Verdana" w:hAnsi="Verdana"/>
          <w:sz w:val="20"/>
          <w:szCs w:val="20"/>
          <w:lang w:val="es-ES"/>
        </w:rPr>
        <w:t xml:space="preserve">En lo que refiere específicamente a la </w:t>
      </w:r>
      <w:r w:rsidR="001965F2" w:rsidRPr="0033605D">
        <w:rPr>
          <w:rFonts w:ascii="Verdana" w:hAnsi="Verdana"/>
          <w:sz w:val="20"/>
          <w:szCs w:val="20"/>
          <w:lang w:val="es-ES"/>
        </w:rPr>
        <w:t>relación entre la criminalización y la atención en salud,</w:t>
      </w:r>
      <w:r w:rsidR="006A1A82" w:rsidRPr="0033605D">
        <w:rPr>
          <w:rFonts w:ascii="Verdana" w:hAnsi="Verdana"/>
          <w:sz w:val="20"/>
          <w:szCs w:val="20"/>
          <w:lang w:val="es-ES"/>
        </w:rPr>
        <w:t xml:space="preserve"> el</w:t>
      </w:r>
      <w:r w:rsidR="001965F2" w:rsidRPr="0033605D">
        <w:rPr>
          <w:rFonts w:ascii="Verdana" w:hAnsi="Verdana"/>
          <w:sz w:val="20"/>
          <w:szCs w:val="20"/>
          <w:lang w:val="es-ES"/>
        </w:rPr>
        <w:t xml:space="preserve"> </w:t>
      </w:r>
      <w:r w:rsidR="006A1A82" w:rsidRPr="0033605D">
        <w:rPr>
          <w:rFonts w:ascii="Verdana" w:hAnsi="Verdana"/>
          <w:sz w:val="20"/>
          <w:szCs w:val="20"/>
        </w:rPr>
        <w:t>Relator Especial sobre el derecho de toda persona al disfrute del más alto nivel posible de salud física y mental de Naciones Unidas</w:t>
      </w:r>
      <w:r w:rsidRPr="0033605D">
        <w:rPr>
          <w:rFonts w:ascii="Verdana" w:hAnsi="Verdana"/>
          <w:sz w:val="20"/>
          <w:szCs w:val="20"/>
          <w:lang w:val="es-ES"/>
        </w:rPr>
        <w:t xml:space="preserve">, </w:t>
      </w:r>
      <w:r w:rsidR="00BC08CB" w:rsidRPr="0033605D">
        <w:rPr>
          <w:rFonts w:ascii="Verdana" w:hAnsi="Verdana"/>
          <w:sz w:val="20"/>
          <w:szCs w:val="20"/>
          <w:lang w:val="es-ES"/>
        </w:rPr>
        <w:t>ha sostenido que</w:t>
      </w:r>
      <w:r w:rsidR="00BC0548" w:rsidRPr="0033605D">
        <w:rPr>
          <w:rFonts w:ascii="Verdana" w:hAnsi="Verdana"/>
          <w:sz w:val="20"/>
          <w:szCs w:val="20"/>
          <w:lang w:val="es-ES"/>
        </w:rPr>
        <w:t xml:space="preserve"> esta “[…] </w:t>
      </w:r>
      <w:r w:rsidR="00BC08CB" w:rsidRPr="0033605D">
        <w:rPr>
          <w:rFonts w:ascii="Verdana" w:hAnsi="Verdana" w:cs="Arial"/>
          <w:kern w:val="0"/>
          <w:sz w:val="20"/>
          <w:szCs w:val="20"/>
        </w:rPr>
        <w:t>restringe la capacidad de las mujeres para hacer pleno uso de los bienes, servicios e información de salud sexual y reproductiva disponibles; niega su plena participación en la sociedad, y distorsiona las percepciones de los profesionales de la salud que, como consecuencia, pueden obstaculizar su acceso a los servicios de atención sanitaria</w:t>
      </w:r>
      <w:r w:rsidR="00BC0548" w:rsidRPr="0033605D">
        <w:rPr>
          <w:rFonts w:ascii="Verdana" w:hAnsi="Verdana" w:cs="Arial"/>
          <w:kern w:val="0"/>
          <w:sz w:val="20"/>
          <w:szCs w:val="20"/>
        </w:rPr>
        <w:t xml:space="preserve"> […]”</w:t>
      </w:r>
      <w:r w:rsidR="006A1A82" w:rsidRPr="0033605D">
        <w:rPr>
          <w:rStyle w:val="Refdenotaalpie"/>
          <w:rFonts w:ascii="Verdana" w:hAnsi="Verdana" w:cs="Arial"/>
          <w:kern w:val="0"/>
          <w:sz w:val="20"/>
          <w:szCs w:val="20"/>
        </w:rPr>
        <w:footnoteReference w:id="71"/>
      </w:r>
      <w:r w:rsidR="007F1602" w:rsidRPr="0033605D">
        <w:rPr>
          <w:rFonts w:ascii="Verdana" w:hAnsi="Verdana" w:cs="Arial"/>
          <w:kern w:val="0"/>
          <w:sz w:val="20"/>
          <w:szCs w:val="20"/>
        </w:rPr>
        <w:t>. Este efecto disuasorio del derecho penal ha sido reconocido en múltiples oportunidades por la Corte como un medio para la protección de los derechos a través de la prevención de conductas que los violenten</w:t>
      </w:r>
      <w:r w:rsidR="00904946" w:rsidRPr="0033605D">
        <w:rPr>
          <w:rStyle w:val="Refdenotaalpie"/>
          <w:rFonts w:ascii="Verdana" w:hAnsi="Verdana" w:cs="Arial"/>
          <w:kern w:val="0"/>
          <w:sz w:val="20"/>
          <w:szCs w:val="20"/>
        </w:rPr>
        <w:footnoteReference w:id="72"/>
      </w:r>
      <w:r w:rsidR="007F1602" w:rsidRPr="0033605D">
        <w:rPr>
          <w:rFonts w:ascii="Verdana" w:hAnsi="Verdana" w:cs="Arial"/>
          <w:kern w:val="0"/>
          <w:sz w:val="20"/>
          <w:szCs w:val="20"/>
        </w:rPr>
        <w:t>,</w:t>
      </w:r>
      <w:r w:rsidR="00A239E2" w:rsidRPr="0033605D">
        <w:rPr>
          <w:rFonts w:ascii="Verdana" w:hAnsi="Verdana" w:cs="Arial"/>
          <w:kern w:val="0"/>
          <w:sz w:val="20"/>
          <w:szCs w:val="20"/>
        </w:rPr>
        <w:t xml:space="preserve"> y</w:t>
      </w:r>
      <w:r w:rsidR="007F1602" w:rsidRPr="0033605D">
        <w:rPr>
          <w:rFonts w:ascii="Verdana" w:hAnsi="Verdana" w:cs="Arial"/>
          <w:kern w:val="0"/>
          <w:sz w:val="20"/>
          <w:szCs w:val="20"/>
        </w:rPr>
        <w:t xml:space="preserve"> como un mecanismo para desincentivar conductas que deben ser protegid</w:t>
      </w:r>
      <w:r w:rsidR="00954535" w:rsidRPr="0033605D">
        <w:rPr>
          <w:rFonts w:ascii="Verdana" w:hAnsi="Verdana" w:cs="Arial"/>
          <w:kern w:val="0"/>
          <w:sz w:val="20"/>
          <w:szCs w:val="20"/>
        </w:rPr>
        <w:t>a</w:t>
      </w:r>
      <w:r w:rsidR="007F1602" w:rsidRPr="0033605D">
        <w:rPr>
          <w:rFonts w:ascii="Verdana" w:hAnsi="Verdana" w:cs="Arial"/>
          <w:kern w:val="0"/>
          <w:sz w:val="20"/>
          <w:szCs w:val="20"/>
        </w:rPr>
        <w:t>s, por ejemplo</w:t>
      </w:r>
      <w:r w:rsidR="00904946" w:rsidRPr="0033605D">
        <w:rPr>
          <w:rFonts w:ascii="Verdana" w:hAnsi="Verdana" w:cs="Arial"/>
          <w:kern w:val="0"/>
          <w:sz w:val="20"/>
          <w:szCs w:val="20"/>
        </w:rPr>
        <w:t>,</w:t>
      </w:r>
      <w:r w:rsidR="007F1602" w:rsidRPr="0033605D">
        <w:rPr>
          <w:rFonts w:ascii="Verdana" w:hAnsi="Verdana" w:cs="Arial"/>
          <w:kern w:val="0"/>
          <w:sz w:val="20"/>
          <w:szCs w:val="20"/>
        </w:rPr>
        <w:t xml:space="preserve"> en el marco de la libertad de expresión</w:t>
      </w:r>
      <w:r w:rsidR="00904946" w:rsidRPr="0033605D">
        <w:rPr>
          <w:rStyle w:val="Refdenotaalpie"/>
          <w:rFonts w:ascii="Verdana" w:hAnsi="Verdana" w:cs="Arial"/>
          <w:kern w:val="0"/>
          <w:sz w:val="20"/>
          <w:szCs w:val="20"/>
        </w:rPr>
        <w:footnoteReference w:id="73"/>
      </w:r>
      <w:r w:rsidR="007F1602" w:rsidRPr="0033605D">
        <w:rPr>
          <w:rFonts w:ascii="Verdana" w:hAnsi="Verdana" w:cs="Arial"/>
          <w:kern w:val="0"/>
          <w:sz w:val="20"/>
          <w:szCs w:val="20"/>
        </w:rPr>
        <w:t xml:space="preserve">. Este </w:t>
      </w:r>
      <w:r w:rsidR="007F1602" w:rsidRPr="0033605D">
        <w:rPr>
          <w:rFonts w:ascii="Verdana" w:hAnsi="Verdana" w:cs="Arial"/>
          <w:kern w:val="0"/>
          <w:sz w:val="20"/>
          <w:szCs w:val="20"/>
        </w:rPr>
        <w:lastRenderedPageBreak/>
        <w:t>caso no es diferente</w:t>
      </w:r>
      <w:r w:rsidR="00954535" w:rsidRPr="0033605D">
        <w:rPr>
          <w:rFonts w:ascii="Verdana" w:hAnsi="Verdana" w:cs="Arial"/>
          <w:kern w:val="0"/>
          <w:sz w:val="20"/>
          <w:szCs w:val="20"/>
        </w:rPr>
        <w:t>. E</w:t>
      </w:r>
      <w:r w:rsidR="007F1602" w:rsidRPr="0033605D">
        <w:rPr>
          <w:rFonts w:ascii="Verdana" w:hAnsi="Verdana" w:cs="Arial"/>
          <w:kern w:val="0"/>
          <w:sz w:val="20"/>
          <w:szCs w:val="20"/>
        </w:rPr>
        <w:t xml:space="preserve">n el marco de la Convención no debería permitirse la existencia de normas que disuadan a las mujeres y </w:t>
      </w:r>
      <w:r w:rsidR="00CE1A5C" w:rsidRPr="0033605D">
        <w:rPr>
          <w:rFonts w:ascii="Verdana" w:hAnsi="Verdana" w:cs="Arial"/>
          <w:kern w:val="0"/>
          <w:sz w:val="20"/>
          <w:szCs w:val="20"/>
        </w:rPr>
        <w:t xml:space="preserve">a </w:t>
      </w:r>
      <w:r w:rsidR="007F1602" w:rsidRPr="0033605D">
        <w:rPr>
          <w:rFonts w:ascii="Verdana" w:hAnsi="Verdana" w:cs="Arial"/>
          <w:kern w:val="0"/>
          <w:sz w:val="20"/>
          <w:szCs w:val="20"/>
        </w:rPr>
        <w:t>los profesionales de la salud a sobreponer irrestrictamente el derecho del no nacido por sobre el de la mujer</w:t>
      </w:r>
      <w:r w:rsidR="00904946" w:rsidRPr="0033605D">
        <w:rPr>
          <w:rFonts w:ascii="Verdana" w:hAnsi="Verdana" w:cs="Arial"/>
          <w:kern w:val="0"/>
          <w:sz w:val="20"/>
          <w:szCs w:val="20"/>
        </w:rPr>
        <w:t xml:space="preserve">. Por el contrario, deberían existir medidas para asegurar que todas las mujeres y niñas en estado de embarazo puedan acceder a todas las medidas necesarias para </w:t>
      </w:r>
      <w:r w:rsidR="00A239E2" w:rsidRPr="0033605D">
        <w:rPr>
          <w:rFonts w:ascii="Verdana" w:hAnsi="Verdana" w:cs="Arial"/>
          <w:kern w:val="0"/>
          <w:sz w:val="20"/>
          <w:szCs w:val="20"/>
        </w:rPr>
        <w:t xml:space="preserve">garantizar </w:t>
      </w:r>
      <w:r w:rsidR="00904946" w:rsidRPr="0033605D">
        <w:rPr>
          <w:rFonts w:ascii="Verdana" w:hAnsi="Verdana" w:cs="Arial"/>
          <w:kern w:val="0"/>
          <w:sz w:val="20"/>
          <w:szCs w:val="20"/>
        </w:rPr>
        <w:t>su</w:t>
      </w:r>
      <w:r w:rsidR="00A239E2" w:rsidRPr="0033605D">
        <w:rPr>
          <w:rFonts w:ascii="Verdana" w:hAnsi="Verdana" w:cs="Arial"/>
          <w:kern w:val="0"/>
          <w:sz w:val="20"/>
          <w:szCs w:val="20"/>
        </w:rPr>
        <w:t>s derechos a la vida y a la</w:t>
      </w:r>
      <w:r w:rsidR="00904946" w:rsidRPr="0033605D">
        <w:rPr>
          <w:rFonts w:ascii="Verdana" w:hAnsi="Verdana" w:cs="Arial"/>
          <w:kern w:val="0"/>
          <w:sz w:val="20"/>
          <w:szCs w:val="20"/>
        </w:rPr>
        <w:t xml:space="preserve"> salud</w:t>
      </w:r>
      <w:r w:rsidR="00954535" w:rsidRPr="0033605D">
        <w:rPr>
          <w:rFonts w:ascii="Verdana" w:hAnsi="Verdana" w:cs="Arial"/>
          <w:kern w:val="0"/>
          <w:sz w:val="20"/>
          <w:szCs w:val="20"/>
        </w:rPr>
        <w:t>, lo cual exige que la interrupción voluntaria del embarazo en casos de riesgos para la madre o inviabilidad de la vida extrauterina del feto no sea penalizada</w:t>
      </w:r>
      <w:r w:rsidR="000C4BCA" w:rsidRPr="0033605D">
        <w:rPr>
          <w:rFonts w:ascii="Verdana" w:hAnsi="Verdana" w:cs="Arial"/>
          <w:kern w:val="0"/>
          <w:sz w:val="20"/>
          <w:szCs w:val="20"/>
        </w:rPr>
        <w:t>, tal como le ocurrió a Beatriz</w:t>
      </w:r>
      <w:r w:rsidR="00904946" w:rsidRPr="0033605D">
        <w:rPr>
          <w:rFonts w:ascii="Verdana" w:hAnsi="Verdana" w:cs="Arial"/>
          <w:kern w:val="0"/>
          <w:sz w:val="20"/>
          <w:szCs w:val="20"/>
        </w:rPr>
        <w:t xml:space="preserve">. </w:t>
      </w:r>
    </w:p>
    <w:p w14:paraId="14BA7455" w14:textId="266A92B2" w:rsidR="00823F88" w:rsidRPr="0033605D" w:rsidRDefault="00097A7B"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Por todo lo anterior</w:t>
      </w:r>
      <w:r w:rsidR="00E60415" w:rsidRPr="0033605D">
        <w:rPr>
          <w:rFonts w:ascii="Verdana" w:hAnsi="Verdana"/>
          <w:sz w:val="20"/>
          <w:szCs w:val="20"/>
          <w:lang w:val="es-ES"/>
        </w:rPr>
        <w:t xml:space="preserve">, </w:t>
      </w:r>
      <w:r w:rsidR="001627D2" w:rsidRPr="0033605D">
        <w:rPr>
          <w:rFonts w:ascii="Verdana" w:hAnsi="Verdana"/>
          <w:sz w:val="20"/>
          <w:szCs w:val="20"/>
          <w:lang w:val="es-ES"/>
        </w:rPr>
        <w:t xml:space="preserve">es inaceptable que el Tribunal haya declarado </w:t>
      </w:r>
      <w:r w:rsidR="00E60415" w:rsidRPr="0033605D">
        <w:rPr>
          <w:rFonts w:ascii="Verdana" w:hAnsi="Verdana"/>
          <w:sz w:val="20"/>
          <w:szCs w:val="20"/>
          <w:lang w:val="es-ES"/>
        </w:rPr>
        <w:t xml:space="preserve">la violación del artículo 2 </w:t>
      </w:r>
      <w:r w:rsidR="00B046AA" w:rsidRPr="0033605D">
        <w:rPr>
          <w:rFonts w:ascii="Verdana" w:hAnsi="Verdana"/>
          <w:sz w:val="20"/>
          <w:szCs w:val="20"/>
          <w:lang w:val="es-ES"/>
        </w:rPr>
        <w:t xml:space="preserve">de la CADH </w:t>
      </w:r>
      <w:r w:rsidR="00E07409" w:rsidRPr="0033605D">
        <w:rPr>
          <w:rFonts w:ascii="Verdana" w:hAnsi="Verdana"/>
          <w:sz w:val="20"/>
          <w:szCs w:val="20"/>
          <w:lang w:val="es-ES"/>
        </w:rPr>
        <w:t xml:space="preserve">solo </w:t>
      </w:r>
      <w:r w:rsidR="00E60415" w:rsidRPr="0033605D">
        <w:rPr>
          <w:rFonts w:ascii="Verdana" w:hAnsi="Verdana"/>
          <w:sz w:val="20"/>
          <w:szCs w:val="20"/>
          <w:lang w:val="es-ES"/>
        </w:rPr>
        <w:t xml:space="preserve">por la falta de existencia de protocolos médicos, </w:t>
      </w:r>
      <w:r w:rsidR="00E07409" w:rsidRPr="0033605D">
        <w:rPr>
          <w:rFonts w:ascii="Verdana" w:hAnsi="Verdana"/>
          <w:sz w:val="20"/>
          <w:szCs w:val="20"/>
          <w:lang w:val="es-ES"/>
        </w:rPr>
        <w:t xml:space="preserve">y </w:t>
      </w:r>
      <w:r w:rsidR="001627D2" w:rsidRPr="0033605D">
        <w:rPr>
          <w:rFonts w:ascii="Verdana" w:hAnsi="Verdana"/>
          <w:sz w:val="20"/>
          <w:szCs w:val="20"/>
          <w:lang w:val="es-ES"/>
        </w:rPr>
        <w:t xml:space="preserve">que </w:t>
      </w:r>
      <w:r w:rsidR="00E07409" w:rsidRPr="0033605D">
        <w:rPr>
          <w:rFonts w:ascii="Verdana" w:hAnsi="Verdana"/>
          <w:sz w:val="20"/>
          <w:szCs w:val="20"/>
          <w:lang w:val="es-ES"/>
        </w:rPr>
        <w:t>no</w:t>
      </w:r>
      <w:r w:rsidR="00CB6632" w:rsidRPr="0033605D">
        <w:rPr>
          <w:rFonts w:ascii="Verdana" w:hAnsi="Verdana"/>
          <w:sz w:val="20"/>
          <w:szCs w:val="20"/>
          <w:lang w:val="es-ES"/>
        </w:rPr>
        <w:t xml:space="preserve"> </w:t>
      </w:r>
      <w:r w:rsidR="001627D2" w:rsidRPr="0033605D">
        <w:rPr>
          <w:rFonts w:ascii="Verdana" w:hAnsi="Verdana"/>
          <w:sz w:val="20"/>
          <w:szCs w:val="20"/>
          <w:lang w:val="es-ES"/>
        </w:rPr>
        <w:t xml:space="preserve">haya </w:t>
      </w:r>
      <w:r w:rsidR="00CB6632" w:rsidRPr="0033605D">
        <w:rPr>
          <w:rFonts w:ascii="Verdana" w:hAnsi="Verdana"/>
          <w:sz w:val="20"/>
          <w:szCs w:val="20"/>
          <w:lang w:val="es-ES"/>
        </w:rPr>
        <w:t>considera</w:t>
      </w:r>
      <w:r w:rsidR="001627D2" w:rsidRPr="0033605D">
        <w:rPr>
          <w:rFonts w:ascii="Verdana" w:hAnsi="Verdana"/>
          <w:sz w:val="20"/>
          <w:szCs w:val="20"/>
          <w:lang w:val="es-ES"/>
        </w:rPr>
        <w:t>do</w:t>
      </w:r>
      <w:r w:rsidR="00CB6632" w:rsidRPr="0033605D">
        <w:rPr>
          <w:rFonts w:ascii="Verdana" w:hAnsi="Verdana"/>
          <w:sz w:val="20"/>
          <w:szCs w:val="20"/>
          <w:lang w:val="es-ES"/>
        </w:rPr>
        <w:t xml:space="preserve"> </w:t>
      </w:r>
      <w:r w:rsidR="00E07409" w:rsidRPr="0033605D">
        <w:rPr>
          <w:rFonts w:ascii="Verdana" w:hAnsi="Verdana"/>
          <w:sz w:val="20"/>
          <w:szCs w:val="20"/>
          <w:lang w:val="es-ES"/>
        </w:rPr>
        <w:t xml:space="preserve">la obligación contenida en el artículo 7 e) de la </w:t>
      </w:r>
      <w:r w:rsidR="00CB6632" w:rsidRPr="0033605D">
        <w:rPr>
          <w:rFonts w:ascii="Verdana" w:hAnsi="Verdana"/>
          <w:sz w:val="20"/>
          <w:szCs w:val="20"/>
          <w:lang w:val="es-ES"/>
        </w:rPr>
        <w:t xml:space="preserve">Convención de Belém do Pará, </w:t>
      </w:r>
      <w:r w:rsidR="00E07409" w:rsidRPr="0033605D">
        <w:rPr>
          <w:rFonts w:ascii="Verdana" w:hAnsi="Verdana"/>
          <w:sz w:val="20"/>
          <w:szCs w:val="20"/>
          <w:lang w:val="es-ES"/>
        </w:rPr>
        <w:t>según la cual, los Estados deben “tomar todas las medidas apropiadas, incluyendo medidas de tipo legislativo, para modificar o abolir leyes y reglamentos vigentes, o para modificar prácticas jurídicas o consuetudinarias que respalden la persistencia o la tolerancia de la violencia contra la mujer”</w:t>
      </w:r>
      <w:r w:rsidR="00663491" w:rsidRPr="0033605D">
        <w:rPr>
          <w:rFonts w:ascii="Verdana" w:hAnsi="Verdana"/>
          <w:sz w:val="20"/>
          <w:szCs w:val="20"/>
          <w:lang w:val="es-ES"/>
        </w:rPr>
        <w:t>.</w:t>
      </w:r>
      <w:r w:rsidR="001726C5" w:rsidRPr="0033605D">
        <w:rPr>
          <w:rFonts w:ascii="Verdana" w:hAnsi="Verdana"/>
          <w:sz w:val="20"/>
          <w:szCs w:val="20"/>
          <w:lang w:val="es-ES"/>
        </w:rPr>
        <w:t xml:space="preserve"> En este caso El Salvador debía modificar la ley que tipifica el aborto para garantizar los derechos a la vida, a la integridad personal, a la libertad, a la vida privada y a la igualdad</w:t>
      </w:r>
      <w:r w:rsidR="00823F88" w:rsidRPr="0033605D">
        <w:rPr>
          <w:rFonts w:ascii="Verdana" w:hAnsi="Verdana"/>
          <w:sz w:val="20"/>
          <w:szCs w:val="20"/>
          <w:lang w:val="es-ES"/>
        </w:rPr>
        <w:t xml:space="preserve"> de Beatriz</w:t>
      </w:r>
      <w:r w:rsidR="001726C5" w:rsidRPr="0033605D">
        <w:rPr>
          <w:rFonts w:ascii="Verdana" w:hAnsi="Verdana"/>
          <w:sz w:val="20"/>
          <w:szCs w:val="20"/>
          <w:lang w:val="es-ES"/>
        </w:rPr>
        <w:t xml:space="preserve">, y para </w:t>
      </w:r>
      <w:r w:rsidR="00823F88" w:rsidRPr="0033605D">
        <w:rPr>
          <w:rFonts w:ascii="Verdana" w:hAnsi="Verdana"/>
          <w:sz w:val="20"/>
          <w:szCs w:val="20"/>
          <w:lang w:val="es-ES"/>
        </w:rPr>
        <w:t xml:space="preserve">cumplir con su obligación de </w:t>
      </w:r>
      <w:r w:rsidR="001726C5" w:rsidRPr="0033605D">
        <w:rPr>
          <w:rFonts w:ascii="Verdana" w:hAnsi="Verdana"/>
          <w:sz w:val="20"/>
          <w:szCs w:val="20"/>
          <w:lang w:val="es-ES"/>
        </w:rPr>
        <w:t xml:space="preserve">erradicar la violencia contra la mujer. </w:t>
      </w:r>
    </w:p>
    <w:p w14:paraId="7C2B9EB0" w14:textId="51C2DE67" w:rsidR="003205AE" w:rsidRPr="0033605D" w:rsidRDefault="001726C5" w:rsidP="001627D2">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este sentido, </w:t>
      </w:r>
      <w:r w:rsidR="00663491" w:rsidRPr="0033605D">
        <w:rPr>
          <w:rFonts w:ascii="Verdana" w:hAnsi="Verdana"/>
          <w:sz w:val="20"/>
          <w:szCs w:val="20"/>
          <w:lang w:val="es-ES"/>
        </w:rPr>
        <w:t xml:space="preserve">creo que </w:t>
      </w:r>
      <w:r w:rsidR="00E60415" w:rsidRPr="0033605D">
        <w:rPr>
          <w:rFonts w:ascii="Verdana" w:hAnsi="Verdana"/>
          <w:sz w:val="20"/>
          <w:szCs w:val="20"/>
          <w:lang w:val="es-ES"/>
        </w:rPr>
        <w:t xml:space="preserve">al ordenar como medida de reparación </w:t>
      </w:r>
      <w:r w:rsidR="0001798C" w:rsidRPr="0033605D">
        <w:rPr>
          <w:rFonts w:ascii="Verdana" w:hAnsi="Verdana"/>
          <w:sz w:val="20"/>
          <w:szCs w:val="20"/>
          <w:lang w:val="es-ES"/>
        </w:rPr>
        <w:t>la adopción de</w:t>
      </w:r>
      <w:r w:rsidR="00CF645B" w:rsidRPr="0033605D">
        <w:rPr>
          <w:rFonts w:ascii="Verdana" w:hAnsi="Verdana"/>
          <w:sz w:val="20"/>
          <w:szCs w:val="20"/>
          <w:lang w:val="es-ES"/>
        </w:rPr>
        <w:t xml:space="preserve"> “todas las medidas normativas necesarias para brindar directrices y guías de actuación al personal médico y judicial frente a situaciones de embarazos que pongan en riesgo la vida y la salud de la mujer”</w:t>
      </w:r>
      <w:r w:rsidR="00823F88" w:rsidRPr="0033605D">
        <w:rPr>
          <w:rFonts w:ascii="Verdana" w:hAnsi="Verdana"/>
          <w:sz w:val="20"/>
          <w:szCs w:val="20"/>
          <w:lang w:val="es-ES"/>
        </w:rPr>
        <w:t xml:space="preserve">, la Corte se equivocó gravemente </w:t>
      </w:r>
      <w:r w:rsidR="00361636" w:rsidRPr="0033605D">
        <w:rPr>
          <w:rFonts w:ascii="Verdana" w:hAnsi="Verdana"/>
          <w:sz w:val="20"/>
          <w:szCs w:val="20"/>
          <w:lang w:val="es-ES"/>
        </w:rPr>
        <w:t>cuando afirmó</w:t>
      </w:r>
      <w:r w:rsidR="0001798C" w:rsidRPr="0033605D">
        <w:rPr>
          <w:rFonts w:ascii="Verdana" w:hAnsi="Verdana"/>
          <w:sz w:val="20"/>
          <w:szCs w:val="20"/>
          <w:lang w:val="es-ES"/>
        </w:rPr>
        <w:t xml:space="preserve"> </w:t>
      </w:r>
      <w:r w:rsidR="007C4144" w:rsidRPr="0033605D">
        <w:rPr>
          <w:rFonts w:ascii="Verdana" w:hAnsi="Verdana"/>
          <w:sz w:val="20"/>
          <w:szCs w:val="20"/>
          <w:lang w:val="es-ES"/>
        </w:rPr>
        <w:t>que</w:t>
      </w:r>
      <w:r w:rsidR="0001798C" w:rsidRPr="0033605D">
        <w:rPr>
          <w:rFonts w:ascii="Verdana" w:hAnsi="Verdana"/>
          <w:sz w:val="20"/>
          <w:szCs w:val="20"/>
          <w:lang w:val="es-ES"/>
        </w:rPr>
        <w:t xml:space="preserve"> </w:t>
      </w:r>
      <w:r w:rsidR="00E60415" w:rsidRPr="0033605D">
        <w:rPr>
          <w:rFonts w:ascii="Verdana" w:hAnsi="Verdana"/>
          <w:sz w:val="20"/>
          <w:szCs w:val="20"/>
          <w:lang w:val="es-ES"/>
        </w:rPr>
        <w:t>“</w:t>
      </w:r>
      <w:r w:rsidR="007C4144" w:rsidRPr="0033605D">
        <w:rPr>
          <w:rFonts w:ascii="Verdana" w:hAnsi="Verdana"/>
          <w:sz w:val="20"/>
          <w:szCs w:val="20"/>
          <w:lang w:val="es-ES"/>
        </w:rPr>
        <w:t>[e]</w:t>
      </w:r>
      <w:r w:rsidR="00E508FB" w:rsidRPr="0033605D">
        <w:rPr>
          <w:rFonts w:ascii="Verdana" w:hAnsi="Verdana"/>
          <w:sz w:val="20"/>
          <w:szCs w:val="20"/>
          <w:lang w:val="es-ES"/>
        </w:rPr>
        <w:t xml:space="preserve">l Estado puede cumplir con esta medida a través de la adecuación de los protocolos existentes </w:t>
      </w:r>
      <w:r w:rsidR="00091F85">
        <w:rPr>
          <w:rFonts w:ascii="Verdana" w:hAnsi="Verdana"/>
          <w:sz w:val="20"/>
          <w:szCs w:val="20"/>
          <w:lang w:val="es-ES"/>
        </w:rPr>
        <w:t>[…]</w:t>
      </w:r>
      <w:r w:rsidR="00E508FB" w:rsidRPr="0033605D">
        <w:rPr>
          <w:rFonts w:ascii="Verdana" w:hAnsi="Verdana"/>
          <w:sz w:val="20"/>
          <w:szCs w:val="20"/>
          <w:lang w:val="es-ES"/>
        </w:rPr>
        <w:t>, la emisión de un nuevo protocolo o cualquier otra medida normativa que garantice seguridad jurídica en la atención de situaciones como las del presente caso</w:t>
      </w:r>
      <w:r w:rsidR="00E60415" w:rsidRPr="0033605D">
        <w:rPr>
          <w:rFonts w:ascii="Verdana" w:hAnsi="Verdana"/>
          <w:sz w:val="20"/>
          <w:szCs w:val="20"/>
          <w:lang w:val="es-ES"/>
        </w:rPr>
        <w:t>”</w:t>
      </w:r>
      <w:r w:rsidR="007C4144" w:rsidRPr="0033605D">
        <w:rPr>
          <w:rFonts w:ascii="Verdana" w:hAnsi="Verdana"/>
          <w:sz w:val="20"/>
          <w:szCs w:val="20"/>
          <w:lang w:val="es-ES"/>
        </w:rPr>
        <w:t xml:space="preserve"> (párrafo 21</w:t>
      </w:r>
      <w:r w:rsidR="00091F85">
        <w:rPr>
          <w:rFonts w:ascii="Verdana" w:hAnsi="Verdana"/>
          <w:sz w:val="20"/>
          <w:szCs w:val="20"/>
          <w:lang w:val="es-ES"/>
        </w:rPr>
        <w:t>2</w:t>
      </w:r>
      <w:r w:rsidR="007C4144" w:rsidRPr="0033605D">
        <w:rPr>
          <w:rFonts w:ascii="Verdana" w:hAnsi="Verdana"/>
          <w:sz w:val="20"/>
          <w:szCs w:val="20"/>
          <w:lang w:val="es-ES"/>
        </w:rPr>
        <w:t>). Como ha sido de sobra explicado</w:t>
      </w:r>
      <w:r w:rsidR="006B537B" w:rsidRPr="0033605D">
        <w:rPr>
          <w:rFonts w:ascii="Verdana" w:hAnsi="Verdana"/>
          <w:sz w:val="20"/>
          <w:szCs w:val="20"/>
          <w:lang w:val="es-ES"/>
        </w:rPr>
        <w:t>,</w:t>
      </w:r>
      <w:r w:rsidR="00361636" w:rsidRPr="0033605D">
        <w:rPr>
          <w:rFonts w:ascii="Verdana" w:hAnsi="Verdana"/>
          <w:sz w:val="20"/>
          <w:szCs w:val="20"/>
          <w:lang w:val="es-ES"/>
        </w:rPr>
        <w:t xml:space="preserve"> la causa de las violaciones sufridas por Beatriz fue la criminalización absoluta del aborto</w:t>
      </w:r>
      <w:r w:rsidR="00B046AA" w:rsidRPr="0033605D">
        <w:rPr>
          <w:rFonts w:ascii="Verdana" w:hAnsi="Verdana"/>
          <w:sz w:val="20"/>
          <w:szCs w:val="20"/>
          <w:lang w:val="es-ES"/>
        </w:rPr>
        <w:t>;</w:t>
      </w:r>
      <w:r w:rsidR="00361636" w:rsidRPr="0033605D">
        <w:rPr>
          <w:rFonts w:ascii="Verdana" w:hAnsi="Verdana"/>
          <w:sz w:val="20"/>
          <w:szCs w:val="20"/>
          <w:lang w:val="es-ES"/>
        </w:rPr>
        <w:t xml:space="preserve"> por eso</w:t>
      </w:r>
      <w:r w:rsidR="006B537B" w:rsidRPr="0033605D">
        <w:rPr>
          <w:rFonts w:ascii="Verdana" w:hAnsi="Verdana"/>
          <w:sz w:val="20"/>
          <w:szCs w:val="20"/>
          <w:lang w:val="es-ES"/>
        </w:rPr>
        <w:t xml:space="preserve"> es claro</w:t>
      </w:r>
      <w:r w:rsidR="00B046AA" w:rsidRPr="0033605D">
        <w:rPr>
          <w:rFonts w:ascii="Verdana" w:hAnsi="Verdana"/>
          <w:sz w:val="20"/>
          <w:szCs w:val="20"/>
          <w:lang w:val="es-ES"/>
        </w:rPr>
        <w:t>,</w:t>
      </w:r>
      <w:r w:rsidR="006B537B" w:rsidRPr="0033605D">
        <w:rPr>
          <w:rFonts w:ascii="Verdana" w:hAnsi="Verdana"/>
          <w:sz w:val="20"/>
          <w:szCs w:val="20"/>
          <w:lang w:val="es-ES"/>
        </w:rPr>
        <w:t xml:space="preserve"> que</w:t>
      </w:r>
      <w:r w:rsidR="007C4144" w:rsidRPr="0033605D">
        <w:rPr>
          <w:rFonts w:ascii="Verdana" w:hAnsi="Verdana"/>
          <w:sz w:val="20"/>
          <w:szCs w:val="20"/>
          <w:lang w:val="es-ES"/>
        </w:rPr>
        <w:t xml:space="preserve"> </w:t>
      </w:r>
      <w:r w:rsidR="008E74F3" w:rsidRPr="0033605D">
        <w:rPr>
          <w:rFonts w:ascii="Verdana" w:hAnsi="Verdana"/>
          <w:sz w:val="20"/>
          <w:szCs w:val="20"/>
          <w:lang w:val="es-ES"/>
        </w:rPr>
        <w:t xml:space="preserve">la existencia de protocolos médicos es insuficiente para soslayar el </w:t>
      </w:r>
      <w:r w:rsidR="00B046AA" w:rsidRPr="0033605D">
        <w:rPr>
          <w:rFonts w:ascii="Verdana" w:hAnsi="Verdana"/>
          <w:sz w:val="20"/>
          <w:szCs w:val="20"/>
          <w:lang w:val="es-ES"/>
        </w:rPr>
        <w:t>efecto amedrentador del tipo penal y sus consecuencias sobre la atención de la salud materna</w:t>
      </w:r>
      <w:r w:rsidR="008E74F3" w:rsidRPr="0033605D">
        <w:rPr>
          <w:rFonts w:ascii="Verdana" w:hAnsi="Verdana"/>
          <w:sz w:val="20"/>
          <w:szCs w:val="20"/>
          <w:lang w:val="es-ES"/>
        </w:rPr>
        <w:t>. Es una cuestión básica de fuentes del derecho</w:t>
      </w:r>
      <w:r w:rsidR="00B046AA" w:rsidRPr="0033605D">
        <w:rPr>
          <w:rFonts w:ascii="Verdana" w:hAnsi="Verdana"/>
          <w:sz w:val="20"/>
          <w:szCs w:val="20"/>
          <w:lang w:val="es-ES"/>
        </w:rPr>
        <w:t>. E</w:t>
      </w:r>
      <w:r w:rsidR="005A4185" w:rsidRPr="0033605D">
        <w:rPr>
          <w:rFonts w:ascii="Verdana" w:hAnsi="Verdana"/>
          <w:sz w:val="20"/>
          <w:szCs w:val="20"/>
          <w:lang w:val="es-ES"/>
        </w:rPr>
        <w:t xml:space="preserve">n eventos de contradicción entre la ley (Código Penal) y el reglamento (protocolo), prevalece la Ley. Así, la existencia de protocolos de atención </w:t>
      </w:r>
      <w:r w:rsidR="00D752EF" w:rsidRPr="0033605D">
        <w:rPr>
          <w:rFonts w:ascii="Verdana" w:hAnsi="Verdana"/>
          <w:sz w:val="20"/>
          <w:szCs w:val="20"/>
          <w:lang w:val="es-ES"/>
        </w:rPr>
        <w:t>médica,</w:t>
      </w:r>
      <w:r w:rsidR="005A4185" w:rsidRPr="0033605D">
        <w:rPr>
          <w:rFonts w:ascii="Verdana" w:hAnsi="Verdana"/>
          <w:sz w:val="20"/>
          <w:szCs w:val="20"/>
          <w:lang w:val="es-ES"/>
        </w:rPr>
        <w:t xml:space="preserve"> aunque relevante, es insuficiente para </w:t>
      </w:r>
      <w:r w:rsidR="00663491" w:rsidRPr="0033605D">
        <w:rPr>
          <w:rFonts w:ascii="Verdana" w:hAnsi="Verdana"/>
          <w:sz w:val="20"/>
          <w:szCs w:val="20"/>
          <w:lang w:val="es-ES"/>
        </w:rPr>
        <w:t>resolver la violación del artículo 2</w:t>
      </w:r>
      <w:r w:rsidR="00B046AA" w:rsidRPr="0033605D">
        <w:rPr>
          <w:rFonts w:ascii="Verdana" w:hAnsi="Verdana"/>
          <w:sz w:val="20"/>
          <w:szCs w:val="20"/>
          <w:lang w:val="es-ES"/>
        </w:rPr>
        <w:t xml:space="preserve"> de la CADH</w:t>
      </w:r>
      <w:r w:rsidR="00663491" w:rsidRPr="0033605D">
        <w:rPr>
          <w:rFonts w:ascii="Verdana" w:hAnsi="Verdana"/>
          <w:sz w:val="20"/>
          <w:szCs w:val="20"/>
          <w:lang w:val="es-ES"/>
        </w:rPr>
        <w:t xml:space="preserve"> en este caso. </w:t>
      </w:r>
      <w:r w:rsidR="00D752EF" w:rsidRPr="0033605D">
        <w:rPr>
          <w:rFonts w:ascii="Verdana" w:hAnsi="Verdana"/>
          <w:sz w:val="20"/>
          <w:szCs w:val="20"/>
          <w:lang w:val="es-ES"/>
        </w:rPr>
        <w:t>La Cor</w:t>
      </w:r>
      <w:r w:rsidR="00552B8C" w:rsidRPr="0033605D">
        <w:rPr>
          <w:rFonts w:ascii="Verdana" w:hAnsi="Verdana"/>
          <w:sz w:val="20"/>
          <w:szCs w:val="20"/>
          <w:lang w:val="es-ES"/>
        </w:rPr>
        <w:t>te</w:t>
      </w:r>
      <w:r w:rsidR="00D752EF" w:rsidRPr="0033605D">
        <w:rPr>
          <w:rFonts w:ascii="Verdana" w:hAnsi="Verdana"/>
          <w:sz w:val="20"/>
          <w:szCs w:val="20"/>
          <w:lang w:val="es-ES"/>
        </w:rPr>
        <w:t xml:space="preserve"> </w:t>
      </w:r>
      <w:r w:rsidR="00852EC9" w:rsidRPr="0033605D">
        <w:rPr>
          <w:rFonts w:ascii="Verdana" w:hAnsi="Verdana"/>
          <w:sz w:val="20"/>
          <w:szCs w:val="20"/>
          <w:lang w:val="es-ES"/>
        </w:rPr>
        <w:t>debía ordenar</w:t>
      </w:r>
      <w:r w:rsidR="00D752EF" w:rsidRPr="0033605D">
        <w:rPr>
          <w:rFonts w:ascii="Verdana" w:hAnsi="Verdana"/>
          <w:sz w:val="20"/>
          <w:szCs w:val="20"/>
          <w:lang w:val="es-ES"/>
        </w:rPr>
        <w:t xml:space="preserve"> a El Salvador una m</w:t>
      </w:r>
      <w:r w:rsidR="00852EC9" w:rsidRPr="0033605D">
        <w:rPr>
          <w:rFonts w:ascii="Verdana" w:hAnsi="Verdana"/>
          <w:sz w:val="20"/>
          <w:szCs w:val="20"/>
          <w:lang w:val="es-ES"/>
        </w:rPr>
        <w:t xml:space="preserve">odificación del tipo penal de aborto, para </w:t>
      </w:r>
      <w:r w:rsidR="00B046AA" w:rsidRPr="0033605D">
        <w:rPr>
          <w:rFonts w:ascii="Verdana" w:hAnsi="Verdana"/>
          <w:sz w:val="20"/>
          <w:szCs w:val="20"/>
          <w:lang w:val="es-ES"/>
        </w:rPr>
        <w:t>que,</w:t>
      </w:r>
      <w:r w:rsidR="00852EC9" w:rsidRPr="0033605D">
        <w:rPr>
          <w:rFonts w:ascii="Verdana" w:hAnsi="Verdana"/>
          <w:sz w:val="20"/>
          <w:szCs w:val="20"/>
          <w:lang w:val="es-ES"/>
        </w:rPr>
        <w:t xml:space="preserve"> a través de una norma </w:t>
      </w:r>
      <w:proofErr w:type="gramStart"/>
      <w:r w:rsidR="00852EC9" w:rsidRPr="0033605D">
        <w:rPr>
          <w:rFonts w:ascii="Verdana" w:hAnsi="Verdana"/>
          <w:sz w:val="20"/>
          <w:szCs w:val="20"/>
          <w:lang w:val="es-ES"/>
        </w:rPr>
        <w:t>del mismo</w:t>
      </w:r>
      <w:proofErr w:type="gramEnd"/>
      <w:r w:rsidR="00852EC9" w:rsidRPr="0033605D">
        <w:rPr>
          <w:rFonts w:ascii="Verdana" w:hAnsi="Verdana"/>
          <w:sz w:val="20"/>
          <w:szCs w:val="20"/>
          <w:lang w:val="es-ES"/>
        </w:rPr>
        <w:t xml:space="preserve"> o mayor rango,</w:t>
      </w:r>
      <w:r w:rsidR="00E8244E" w:rsidRPr="0033605D">
        <w:rPr>
          <w:rFonts w:ascii="Verdana" w:hAnsi="Verdana"/>
          <w:sz w:val="20"/>
          <w:szCs w:val="20"/>
          <w:lang w:val="es-ES"/>
        </w:rPr>
        <w:t xml:space="preserve"> se eliminara la tipificación de la interrupción </w:t>
      </w:r>
      <w:r w:rsidR="00943B9F" w:rsidRPr="0033605D">
        <w:rPr>
          <w:rFonts w:ascii="Verdana" w:hAnsi="Verdana"/>
          <w:sz w:val="20"/>
          <w:szCs w:val="20"/>
          <w:lang w:val="es-ES"/>
        </w:rPr>
        <w:t>voluntaria</w:t>
      </w:r>
      <w:r w:rsidR="00E8244E" w:rsidRPr="0033605D">
        <w:rPr>
          <w:rFonts w:ascii="Verdana" w:hAnsi="Verdana"/>
          <w:sz w:val="20"/>
          <w:szCs w:val="20"/>
          <w:lang w:val="es-ES"/>
        </w:rPr>
        <w:t xml:space="preserve"> del embarazo en casos de riesgo para la madre</w:t>
      </w:r>
      <w:r w:rsidR="00552B8C" w:rsidRPr="0033605D">
        <w:rPr>
          <w:rFonts w:ascii="Verdana" w:hAnsi="Verdana"/>
          <w:sz w:val="20"/>
          <w:szCs w:val="20"/>
          <w:lang w:val="es-ES"/>
        </w:rPr>
        <w:t xml:space="preserve"> o inviabilidad de la vida extrauterina del feto</w:t>
      </w:r>
      <w:r w:rsidR="00E8244E" w:rsidRPr="0033605D">
        <w:rPr>
          <w:rFonts w:ascii="Verdana" w:hAnsi="Verdana"/>
          <w:sz w:val="20"/>
          <w:szCs w:val="20"/>
          <w:lang w:val="es-ES"/>
        </w:rPr>
        <w:t xml:space="preserve">. </w:t>
      </w:r>
      <w:r w:rsidR="00852EC9" w:rsidRPr="0033605D">
        <w:rPr>
          <w:rFonts w:ascii="Verdana" w:hAnsi="Verdana"/>
          <w:sz w:val="20"/>
          <w:szCs w:val="20"/>
          <w:lang w:val="es-ES"/>
        </w:rPr>
        <w:t xml:space="preserve"> </w:t>
      </w:r>
      <w:r w:rsidR="00FA4218" w:rsidRPr="0033605D">
        <w:rPr>
          <w:rFonts w:ascii="Verdana" w:hAnsi="Verdana"/>
          <w:sz w:val="20"/>
          <w:szCs w:val="20"/>
          <w:lang w:val="es-ES"/>
        </w:rPr>
        <w:t xml:space="preserve">A mi juicio, al </w:t>
      </w:r>
      <w:r w:rsidR="00BE7B14" w:rsidRPr="0033605D">
        <w:rPr>
          <w:rFonts w:ascii="Verdana" w:hAnsi="Verdana"/>
          <w:sz w:val="20"/>
          <w:szCs w:val="20"/>
          <w:lang w:val="es-ES"/>
        </w:rPr>
        <w:t xml:space="preserve">establecer que </w:t>
      </w:r>
      <w:r w:rsidR="001727CC" w:rsidRPr="0033605D">
        <w:rPr>
          <w:rFonts w:ascii="Verdana" w:hAnsi="Verdana"/>
          <w:sz w:val="20"/>
          <w:szCs w:val="20"/>
          <w:lang w:val="es-ES"/>
        </w:rPr>
        <w:t xml:space="preserve">el </w:t>
      </w:r>
      <w:r w:rsidR="00BE7B14" w:rsidRPr="0033605D">
        <w:rPr>
          <w:rFonts w:ascii="Verdana" w:hAnsi="Verdana"/>
          <w:sz w:val="20"/>
          <w:szCs w:val="20"/>
          <w:lang w:val="es-ES"/>
        </w:rPr>
        <w:t xml:space="preserve">Estado puede cumplir con esta medida a través de la adecuación de los protocolos existentes, no se garantiza de ninguna </w:t>
      </w:r>
      <w:r w:rsidR="00603557" w:rsidRPr="0033605D">
        <w:rPr>
          <w:rFonts w:ascii="Verdana" w:hAnsi="Verdana"/>
          <w:sz w:val="20"/>
          <w:szCs w:val="20"/>
          <w:lang w:val="es-ES"/>
        </w:rPr>
        <w:t xml:space="preserve">forma que </w:t>
      </w:r>
      <w:r w:rsidR="00BE7B14" w:rsidRPr="0033605D">
        <w:rPr>
          <w:rFonts w:ascii="Verdana" w:hAnsi="Verdana"/>
          <w:sz w:val="20"/>
          <w:szCs w:val="20"/>
          <w:lang w:val="es-ES"/>
        </w:rPr>
        <w:t>en un caso similar al analizado</w:t>
      </w:r>
      <w:r w:rsidR="0021295A" w:rsidRPr="0033605D">
        <w:rPr>
          <w:rFonts w:ascii="Verdana" w:hAnsi="Verdana"/>
          <w:sz w:val="20"/>
          <w:szCs w:val="20"/>
          <w:lang w:val="es-ES"/>
        </w:rPr>
        <w:t xml:space="preserve"> </w:t>
      </w:r>
      <w:r w:rsidR="00BE7B14" w:rsidRPr="0033605D">
        <w:rPr>
          <w:rFonts w:ascii="Verdana" w:hAnsi="Verdana"/>
          <w:sz w:val="20"/>
          <w:szCs w:val="20"/>
          <w:lang w:val="es-ES"/>
        </w:rPr>
        <w:t xml:space="preserve">los médicos </w:t>
      </w:r>
      <w:r w:rsidR="0021295A" w:rsidRPr="0033605D">
        <w:rPr>
          <w:rFonts w:ascii="Verdana" w:hAnsi="Verdana"/>
          <w:sz w:val="20"/>
          <w:szCs w:val="20"/>
          <w:lang w:val="es-ES"/>
        </w:rPr>
        <w:t xml:space="preserve">tengan la certeza de que pueden actuar conforme al protocolo, sin </w:t>
      </w:r>
      <w:r w:rsidR="00BE7B14" w:rsidRPr="0033605D">
        <w:rPr>
          <w:rFonts w:ascii="Verdana" w:hAnsi="Verdana"/>
          <w:sz w:val="20"/>
          <w:szCs w:val="20"/>
          <w:lang w:val="es-ES"/>
        </w:rPr>
        <w:t>asumir las consecuencias jurídicas que se derivan de la criminalización</w:t>
      </w:r>
      <w:r w:rsidR="0021295A" w:rsidRPr="0033605D">
        <w:rPr>
          <w:rFonts w:ascii="Verdana" w:hAnsi="Verdana"/>
          <w:sz w:val="20"/>
          <w:szCs w:val="20"/>
          <w:lang w:val="es-ES"/>
        </w:rPr>
        <w:t xml:space="preserve"> absoluta</w:t>
      </w:r>
      <w:r w:rsidR="00BE7B14" w:rsidRPr="0033605D">
        <w:rPr>
          <w:rFonts w:ascii="Verdana" w:hAnsi="Verdana"/>
          <w:sz w:val="20"/>
          <w:szCs w:val="20"/>
          <w:lang w:val="es-ES"/>
        </w:rPr>
        <w:t xml:space="preserve"> del aborto.</w:t>
      </w:r>
    </w:p>
    <w:p w14:paraId="73F6217E" w14:textId="083AEF2B" w:rsidR="00A44416" w:rsidRPr="0033605D" w:rsidRDefault="001B553D"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Por otra parte, </w:t>
      </w:r>
      <w:r w:rsidR="00382489" w:rsidRPr="0033605D">
        <w:rPr>
          <w:rFonts w:ascii="Verdana" w:hAnsi="Verdana"/>
          <w:sz w:val="20"/>
          <w:szCs w:val="20"/>
          <w:lang w:val="es-ES"/>
        </w:rPr>
        <w:t>la decisión adoptada por la mayoría desconoce que, en muchos casos “</w:t>
      </w:r>
      <w:r w:rsidR="00D95F16" w:rsidRPr="0033605D">
        <w:rPr>
          <w:rFonts w:ascii="Verdana" w:hAnsi="Verdana"/>
          <w:sz w:val="20"/>
          <w:szCs w:val="20"/>
          <w:lang w:val="es-ES"/>
        </w:rPr>
        <w:t xml:space="preserve">las mujeres y las niñas se enfrentan a considerables dificultades para acceder a los servicios de aborto legal por las trabas administrativas y burocráticas, la negativa por parte de los profesionales sanitarios a respetar los protocolos médicos que garantizan los derechos jurídicos, así como por las actitudes negativas y la </w:t>
      </w:r>
      <w:r w:rsidR="00D95F16" w:rsidRPr="0033605D">
        <w:rPr>
          <w:rFonts w:ascii="Verdana" w:hAnsi="Verdana"/>
          <w:sz w:val="20"/>
          <w:szCs w:val="20"/>
          <w:lang w:val="es-ES"/>
        </w:rPr>
        <w:lastRenderedPageBreak/>
        <w:t>incompetencia o el desinterés oficiales</w:t>
      </w:r>
      <w:r w:rsidR="00382489" w:rsidRPr="0033605D">
        <w:rPr>
          <w:rFonts w:ascii="Verdana" w:hAnsi="Verdana"/>
          <w:sz w:val="20"/>
          <w:szCs w:val="20"/>
          <w:lang w:val="es-ES"/>
        </w:rPr>
        <w:t>”</w:t>
      </w:r>
      <w:r w:rsidR="006372D8" w:rsidRPr="0033605D">
        <w:rPr>
          <w:rStyle w:val="Refdenotaalpie"/>
          <w:rFonts w:ascii="Verdana" w:hAnsi="Verdana"/>
          <w:sz w:val="20"/>
          <w:szCs w:val="20"/>
          <w:lang w:val="es-ES"/>
        </w:rPr>
        <w:footnoteReference w:id="74"/>
      </w:r>
      <w:r w:rsidR="00866492" w:rsidRPr="0033605D">
        <w:rPr>
          <w:rFonts w:ascii="Verdana" w:hAnsi="Verdana"/>
          <w:sz w:val="20"/>
          <w:szCs w:val="20"/>
          <w:lang w:val="es-ES"/>
        </w:rPr>
        <w:t>. De manera que,</w:t>
      </w:r>
      <w:r w:rsidR="00D95F16" w:rsidRPr="0033605D">
        <w:rPr>
          <w:rFonts w:ascii="Verdana" w:hAnsi="Verdana"/>
          <w:sz w:val="20"/>
          <w:szCs w:val="20"/>
          <w:lang w:val="es-ES"/>
        </w:rPr>
        <w:t xml:space="preserve"> la orden de emitir protocolos sin </w:t>
      </w:r>
      <w:r w:rsidR="00621471" w:rsidRPr="0033605D">
        <w:rPr>
          <w:rFonts w:ascii="Verdana" w:hAnsi="Verdana"/>
          <w:sz w:val="20"/>
          <w:szCs w:val="20"/>
          <w:lang w:val="es-ES"/>
        </w:rPr>
        <w:t xml:space="preserve">la revisión de la normatividad que penaliza de forma absoluta la interrupción del embarazo en casos tan extremos como el riesgo a la vida de la madre y la incompatibilidad del feto con la vida extrauterina, </w:t>
      </w:r>
      <w:r w:rsidR="006372D8" w:rsidRPr="0033605D">
        <w:rPr>
          <w:rFonts w:ascii="Verdana" w:hAnsi="Verdana"/>
          <w:sz w:val="20"/>
          <w:szCs w:val="20"/>
          <w:lang w:val="es-ES"/>
        </w:rPr>
        <w:t>a mi juicio no constituye una verdadera garantía de no repetición.</w:t>
      </w:r>
      <w:r w:rsidR="001727CC" w:rsidRPr="0033605D">
        <w:rPr>
          <w:rFonts w:ascii="Verdana" w:hAnsi="Verdana"/>
          <w:sz w:val="20"/>
          <w:szCs w:val="20"/>
          <w:lang w:val="es-ES"/>
        </w:rPr>
        <w:t xml:space="preserve"> Por el contrario, podría ser erróneamente concebido como una autorización de la Corte a la criminalización</w:t>
      </w:r>
      <w:r w:rsidR="001627D2" w:rsidRPr="0033605D">
        <w:rPr>
          <w:rFonts w:ascii="Verdana" w:hAnsi="Verdana"/>
          <w:sz w:val="20"/>
          <w:szCs w:val="20"/>
          <w:lang w:val="es-ES"/>
        </w:rPr>
        <w:t xml:space="preserve"> absoluta</w:t>
      </w:r>
      <w:r w:rsidR="001727CC" w:rsidRPr="0033605D">
        <w:rPr>
          <w:rFonts w:ascii="Verdana" w:hAnsi="Verdana"/>
          <w:sz w:val="20"/>
          <w:szCs w:val="20"/>
          <w:lang w:val="es-ES"/>
        </w:rPr>
        <w:t xml:space="preserve"> del aborto, lo que desconoce </w:t>
      </w:r>
      <w:r w:rsidR="00866492" w:rsidRPr="0033605D">
        <w:rPr>
          <w:rFonts w:ascii="Verdana" w:hAnsi="Verdana"/>
          <w:sz w:val="20"/>
          <w:szCs w:val="20"/>
          <w:lang w:val="es-ES"/>
        </w:rPr>
        <w:t xml:space="preserve">el alcance y contenido de las obligaciones convencionales y deja en una situación de grave riesgo a las mujeres de la región. </w:t>
      </w:r>
    </w:p>
    <w:p w14:paraId="60477EF9" w14:textId="77777777" w:rsidR="006D6A52" w:rsidRPr="0033605D" w:rsidRDefault="008A58ED"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conclusión, </w:t>
      </w:r>
      <w:r w:rsidR="00D105EF" w:rsidRPr="0033605D">
        <w:rPr>
          <w:rFonts w:ascii="Verdana" w:hAnsi="Verdana"/>
          <w:sz w:val="20"/>
          <w:szCs w:val="20"/>
          <w:lang w:val="es-ES"/>
        </w:rPr>
        <w:t xml:space="preserve">me aparto del razonamiento que usó la Corte en este caso porque considero que incurrió en omisiones inadmisibles al edulcorar el alcance concreto de los derechos de las mujeres y asumir una aproximación restrictiva de las garantías convencionales sin justificación. Como he demostrado de sobra, </w:t>
      </w:r>
      <w:r w:rsidR="00AD5C58" w:rsidRPr="0033605D">
        <w:rPr>
          <w:rFonts w:ascii="Verdana" w:hAnsi="Verdana"/>
          <w:sz w:val="20"/>
          <w:szCs w:val="20"/>
          <w:lang w:val="es-ES"/>
        </w:rPr>
        <w:t>la</w:t>
      </w:r>
      <w:r w:rsidRPr="0033605D">
        <w:rPr>
          <w:rFonts w:ascii="Verdana" w:hAnsi="Verdana"/>
          <w:sz w:val="20"/>
          <w:szCs w:val="20"/>
          <w:lang w:val="es-ES"/>
        </w:rPr>
        <w:t xml:space="preserve"> criminalización de la interrupción voluntaria del embarazo </w:t>
      </w:r>
      <w:r w:rsidR="00AD5C58" w:rsidRPr="0033605D">
        <w:rPr>
          <w:rFonts w:ascii="Verdana" w:hAnsi="Verdana"/>
          <w:sz w:val="20"/>
          <w:szCs w:val="20"/>
          <w:lang w:val="es-ES"/>
        </w:rPr>
        <w:t>en casos de riesgo a la vida o integridad de la madre o de inviabilidad de la vida extrauterina del feto es contraria a la Convención Americana</w:t>
      </w:r>
      <w:r w:rsidR="00D105EF" w:rsidRPr="0033605D">
        <w:rPr>
          <w:rFonts w:ascii="Verdana" w:hAnsi="Verdana"/>
          <w:sz w:val="20"/>
          <w:szCs w:val="20"/>
          <w:lang w:val="es-ES"/>
        </w:rPr>
        <w:t>,</w:t>
      </w:r>
      <w:r w:rsidR="00AD5C58" w:rsidRPr="0033605D">
        <w:rPr>
          <w:rFonts w:ascii="Verdana" w:hAnsi="Verdana"/>
          <w:sz w:val="20"/>
          <w:szCs w:val="20"/>
          <w:lang w:val="es-ES"/>
        </w:rPr>
        <w:t xml:space="preserve"> porque </w:t>
      </w:r>
      <w:r w:rsidRPr="0033605D">
        <w:rPr>
          <w:rFonts w:ascii="Verdana" w:hAnsi="Verdana"/>
          <w:sz w:val="20"/>
          <w:szCs w:val="20"/>
          <w:lang w:val="es-ES"/>
        </w:rPr>
        <w:t xml:space="preserve">traduce en una preeminencia absoluta del </w:t>
      </w:r>
      <w:r w:rsidR="00AD5C58" w:rsidRPr="0033605D">
        <w:rPr>
          <w:rFonts w:ascii="Verdana" w:hAnsi="Verdana"/>
          <w:sz w:val="20"/>
          <w:szCs w:val="20"/>
          <w:lang w:val="es-ES"/>
        </w:rPr>
        <w:t>feto</w:t>
      </w:r>
      <w:r w:rsidRPr="0033605D">
        <w:rPr>
          <w:rFonts w:ascii="Verdana" w:hAnsi="Verdana"/>
          <w:sz w:val="20"/>
          <w:szCs w:val="20"/>
          <w:lang w:val="es-ES"/>
        </w:rPr>
        <w:t xml:space="preserve">, </w:t>
      </w:r>
      <w:r w:rsidR="00D105EF" w:rsidRPr="0033605D">
        <w:rPr>
          <w:rFonts w:ascii="Verdana" w:hAnsi="Verdana"/>
          <w:sz w:val="20"/>
          <w:szCs w:val="20"/>
          <w:lang w:val="es-ES"/>
        </w:rPr>
        <w:t xml:space="preserve">a costa de un </w:t>
      </w:r>
      <w:r w:rsidRPr="0033605D">
        <w:rPr>
          <w:rFonts w:ascii="Verdana" w:hAnsi="Verdana"/>
          <w:sz w:val="20"/>
          <w:szCs w:val="20"/>
          <w:lang w:val="es-ES"/>
        </w:rPr>
        <w:t xml:space="preserve">sacrificio de todos los derechos de la mujer embarazada. </w:t>
      </w:r>
    </w:p>
    <w:p w14:paraId="616C8D63" w14:textId="3BDAE84A" w:rsidR="00D105EF" w:rsidRPr="0033605D" w:rsidRDefault="00D105EF" w:rsidP="00DA5555">
      <w:pPr>
        <w:pStyle w:val="Prrafodelista"/>
        <w:numPr>
          <w:ilvl w:val="0"/>
          <w:numId w:val="2"/>
        </w:numPr>
        <w:autoSpaceDE w:val="0"/>
        <w:autoSpaceDN w:val="0"/>
        <w:adjustRightInd w:val="0"/>
        <w:spacing w:before="100" w:after="100" w:line="276" w:lineRule="auto"/>
        <w:ind w:left="0" w:firstLine="0"/>
        <w:contextualSpacing w:val="0"/>
        <w:jc w:val="both"/>
        <w:rPr>
          <w:rFonts w:ascii="Verdana" w:hAnsi="Verdana"/>
          <w:sz w:val="20"/>
          <w:szCs w:val="20"/>
          <w:lang w:val="es-ES"/>
        </w:rPr>
      </w:pPr>
      <w:r w:rsidRPr="0033605D">
        <w:rPr>
          <w:rFonts w:ascii="Verdana" w:hAnsi="Verdana"/>
          <w:sz w:val="20"/>
          <w:szCs w:val="20"/>
          <w:lang w:val="es-ES"/>
        </w:rPr>
        <w:t xml:space="preserve">En consecuencia, debo decir que en este caso la Corte no cumplió con su </w:t>
      </w:r>
      <w:r w:rsidR="00AD5C58" w:rsidRPr="0033605D">
        <w:rPr>
          <w:rFonts w:ascii="Verdana" w:hAnsi="Verdana"/>
          <w:sz w:val="20"/>
          <w:szCs w:val="20"/>
          <w:lang w:val="es-ES"/>
        </w:rPr>
        <w:t>deber realizar una</w:t>
      </w:r>
      <w:r w:rsidR="008A58ED" w:rsidRPr="0033605D">
        <w:rPr>
          <w:rFonts w:ascii="Verdana" w:hAnsi="Verdana"/>
          <w:sz w:val="20"/>
          <w:szCs w:val="20"/>
          <w:lang w:val="es-ES"/>
        </w:rPr>
        <w:t xml:space="preserve"> interpretación sistemática </w:t>
      </w:r>
      <w:r w:rsidR="00AD5C58" w:rsidRPr="0033605D">
        <w:rPr>
          <w:rFonts w:ascii="Verdana" w:hAnsi="Verdana"/>
          <w:sz w:val="20"/>
          <w:szCs w:val="20"/>
          <w:lang w:val="es-ES"/>
        </w:rPr>
        <w:t xml:space="preserve">y </w:t>
      </w:r>
      <w:r w:rsidR="00091F85">
        <w:rPr>
          <w:rFonts w:ascii="Verdana" w:hAnsi="Verdana"/>
          <w:sz w:val="20"/>
          <w:szCs w:val="20"/>
          <w:lang w:val="es-ES"/>
        </w:rPr>
        <w:t>con</w:t>
      </w:r>
      <w:r w:rsidR="00AD5C58" w:rsidRPr="0033605D">
        <w:rPr>
          <w:rFonts w:ascii="Verdana" w:hAnsi="Verdana"/>
          <w:sz w:val="20"/>
          <w:szCs w:val="20"/>
          <w:lang w:val="es-ES"/>
        </w:rPr>
        <w:t xml:space="preserve"> perspectiva de género </w:t>
      </w:r>
      <w:r w:rsidR="008A58ED" w:rsidRPr="0033605D">
        <w:rPr>
          <w:rFonts w:ascii="Verdana" w:hAnsi="Verdana"/>
          <w:sz w:val="20"/>
          <w:szCs w:val="20"/>
          <w:lang w:val="es-ES"/>
        </w:rPr>
        <w:t>de la Convención Americana</w:t>
      </w:r>
      <w:r w:rsidR="00AD5C58" w:rsidRPr="0033605D">
        <w:rPr>
          <w:rFonts w:ascii="Verdana" w:hAnsi="Verdana"/>
          <w:sz w:val="20"/>
          <w:szCs w:val="20"/>
          <w:lang w:val="es-ES"/>
        </w:rPr>
        <w:t xml:space="preserve">, lo cual la habría llevado a concluir que </w:t>
      </w:r>
      <w:r w:rsidRPr="0033605D">
        <w:rPr>
          <w:rFonts w:ascii="Verdana" w:hAnsi="Verdana"/>
          <w:sz w:val="20"/>
          <w:szCs w:val="20"/>
          <w:lang w:val="es-ES"/>
        </w:rPr>
        <w:t xml:space="preserve">El Salvador era responsable </w:t>
      </w:r>
      <w:r w:rsidRPr="0033605D">
        <w:rPr>
          <w:rFonts w:ascii="Verdana" w:hAnsi="Verdana"/>
          <w:sz w:val="20"/>
          <w:szCs w:val="20"/>
        </w:rPr>
        <w:t xml:space="preserve">por la violación de los derechos a la integridad personal, la libertad, la vida privada y la igualdad y no discriminación, en relación con el derecho a la salud y la obligación de erradicar la violencia contra la mujer, contenida en la Convención de Belém do Pará, causada por </w:t>
      </w:r>
      <w:r w:rsidRPr="0033605D">
        <w:rPr>
          <w:rFonts w:ascii="Verdana" w:hAnsi="Verdana"/>
          <w:iCs/>
          <w:sz w:val="20"/>
          <w:szCs w:val="20"/>
        </w:rPr>
        <w:t>la criminalización del aborto en casos de riesgo para la madre e inviabilidad de la vida extrauterina del feto. Asimismo, debió s</w:t>
      </w:r>
      <w:r w:rsidRPr="0033605D">
        <w:rPr>
          <w:rFonts w:ascii="Verdana" w:hAnsi="Verdana"/>
          <w:sz w:val="20"/>
          <w:szCs w:val="20"/>
        </w:rPr>
        <w:t>o</w:t>
      </w:r>
      <w:r w:rsidRPr="0033605D">
        <w:rPr>
          <w:rFonts w:ascii="Verdana" w:hAnsi="Verdana"/>
          <w:iCs/>
          <w:sz w:val="20"/>
          <w:szCs w:val="20"/>
        </w:rPr>
        <w:t xml:space="preserve">stener que la prohibición y sus consecuencias sobre la atención médica violaron el derecho a la vida de Beatriz y su autonomía reproductiva. Como consecuencia, el Tribunal debió declarar la violación de los artículos 2 de la Convención Americana de Derechos Humanos y 7 e) de la Convención de Belém do Pará, por la existencia de disposiciones que impiden el ejercicio de los derechos sexuales y reproductivos, y ordenar medidas legislativas para evitar que hechos como el del presente caso se repitieran. </w:t>
      </w:r>
    </w:p>
    <w:p w14:paraId="67DAEDF1" w14:textId="45E6C24C" w:rsidR="00103C48" w:rsidRPr="006F361C" w:rsidRDefault="001627D2" w:rsidP="00BE3D0D">
      <w:pPr>
        <w:pStyle w:val="Prrafodelista"/>
        <w:numPr>
          <w:ilvl w:val="0"/>
          <w:numId w:val="2"/>
        </w:numPr>
        <w:autoSpaceDE w:val="0"/>
        <w:autoSpaceDN w:val="0"/>
        <w:adjustRightInd w:val="0"/>
        <w:spacing w:after="0" w:line="240" w:lineRule="auto"/>
        <w:ind w:left="0" w:firstLine="0"/>
        <w:contextualSpacing w:val="0"/>
        <w:jc w:val="both"/>
        <w:rPr>
          <w:rFonts w:ascii="Verdana" w:hAnsi="Verdana"/>
          <w:sz w:val="20"/>
          <w:szCs w:val="20"/>
          <w:lang w:val="es-ES"/>
        </w:rPr>
      </w:pPr>
      <w:r w:rsidRPr="0033605D">
        <w:rPr>
          <w:rFonts w:ascii="Verdana" w:hAnsi="Verdana"/>
          <w:iCs/>
          <w:sz w:val="20"/>
          <w:szCs w:val="20"/>
          <w:lang w:val="es-ES"/>
        </w:rPr>
        <w:t>Por último, f</w:t>
      </w:r>
      <w:r w:rsidR="00D105EF" w:rsidRPr="0033605D">
        <w:rPr>
          <w:rFonts w:ascii="Verdana" w:hAnsi="Verdana"/>
          <w:iCs/>
          <w:sz w:val="20"/>
          <w:szCs w:val="20"/>
          <w:lang w:val="es-ES"/>
        </w:rPr>
        <w:t>rente al tratamiento que la Corte Interamericana ha dado al caso de Beatriz, no puedo dejar de manifestar que l</w:t>
      </w:r>
      <w:r w:rsidR="009E082D" w:rsidRPr="0033605D">
        <w:rPr>
          <w:rFonts w:ascii="Verdana" w:hAnsi="Verdana"/>
          <w:iCs/>
          <w:sz w:val="20"/>
          <w:szCs w:val="20"/>
        </w:rPr>
        <w:t xml:space="preserve">as decisiones de las Cortes sobre estos temas no pueden hacerse teniendo como criterio consideraciones coyunturales, relativas a proyectos políticos más o menos </w:t>
      </w:r>
      <w:r w:rsidRPr="0033605D">
        <w:rPr>
          <w:rFonts w:ascii="Verdana" w:hAnsi="Verdana"/>
          <w:iCs/>
          <w:sz w:val="20"/>
          <w:szCs w:val="20"/>
        </w:rPr>
        <w:t>progresistas</w:t>
      </w:r>
      <w:r w:rsidR="00D105EF" w:rsidRPr="0033605D">
        <w:rPr>
          <w:rFonts w:ascii="Verdana" w:hAnsi="Verdana"/>
          <w:iCs/>
          <w:sz w:val="20"/>
          <w:szCs w:val="20"/>
        </w:rPr>
        <w:t>. L</w:t>
      </w:r>
      <w:r w:rsidR="009E082D" w:rsidRPr="0033605D">
        <w:rPr>
          <w:rFonts w:ascii="Verdana" w:hAnsi="Verdana"/>
          <w:iCs/>
          <w:sz w:val="20"/>
          <w:szCs w:val="20"/>
        </w:rPr>
        <w:t>a posición de los gobiernos</w:t>
      </w:r>
      <w:r w:rsidR="00D105EF" w:rsidRPr="0033605D">
        <w:rPr>
          <w:rFonts w:ascii="Verdana" w:hAnsi="Verdana"/>
          <w:iCs/>
          <w:sz w:val="20"/>
          <w:szCs w:val="20"/>
        </w:rPr>
        <w:t xml:space="preserve"> y grupos de interés</w:t>
      </w:r>
      <w:r w:rsidR="009E082D" w:rsidRPr="0033605D">
        <w:rPr>
          <w:rFonts w:ascii="Verdana" w:hAnsi="Verdana"/>
          <w:iCs/>
          <w:sz w:val="20"/>
          <w:szCs w:val="20"/>
        </w:rPr>
        <w:t xml:space="preserve"> de la región no puede determinar el acento de las decisiones de la Corte. </w:t>
      </w:r>
      <w:r w:rsidR="00D105EF" w:rsidRPr="0033605D">
        <w:rPr>
          <w:rFonts w:ascii="Verdana" w:hAnsi="Verdana"/>
          <w:iCs/>
          <w:sz w:val="20"/>
          <w:szCs w:val="20"/>
        </w:rPr>
        <w:t>Espero</w:t>
      </w:r>
      <w:r w:rsidR="009E082D" w:rsidRPr="0033605D">
        <w:rPr>
          <w:rFonts w:ascii="Verdana" w:hAnsi="Verdana"/>
          <w:iCs/>
          <w:sz w:val="20"/>
          <w:szCs w:val="20"/>
        </w:rPr>
        <w:t xml:space="preserve"> que en </w:t>
      </w:r>
      <w:r w:rsidR="00D105EF" w:rsidRPr="0033605D">
        <w:rPr>
          <w:rFonts w:ascii="Verdana" w:hAnsi="Verdana"/>
          <w:iCs/>
          <w:sz w:val="20"/>
          <w:szCs w:val="20"/>
        </w:rPr>
        <w:t>futuros casos</w:t>
      </w:r>
      <w:r w:rsidR="009E082D" w:rsidRPr="0033605D">
        <w:rPr>
          <w:rFonts w:ascii="Verdana" w:hAnsi="Verdana"/>
          <w:iCs/>
          <w:sz w:val="20"/>
          <w:szCs w:val="20"/>
        </w:rPr>
        <w:t xml:space="preserve"> el Tribunal retome su norte de protección de los derechos humanos</w:t>
      </w:r>
      <w:r w:rsidR="00D105EF" w:rsidRPr="0033605D">
        <w:rPr>
          <w:rFonts w:ascii="Verdana" w:hAnsi="Verdana"/>
          <w:iCs/>
          <w:sz w:val="20"/>
          <w:szCs w:val="20"/>
        </w:rPr>
        <w:t>,</w:t>
      </w:r>
      <w:r w:rsidR="009E082D" w:rsidRPr="0033605D">
        <w:rPr>
          <w:rFonts w:ascii="Verdana" w:hAnsi="Verdana"/>
          <w:iCs/>
          <w:sz w:val="20"/>
          <w:szCs w:val="20"/>
        </w:rPr>
        <w:t xml:space="preserve"> a</w:t>
      </w:r>
      <w:r w:rsidR="00D105EF" w:rsidRPr="0033605D">
        <w:rPr>
          <w:rFonts w:ascii="Verdana" w:hAnsi="Verdana"/>
          <w:iCs/>
          <w:sz w:val="20"/>
          <w:szCs w:val="20"/>
        </w:rPr>
        <w:t>m</w:t>
      </w:r>
      <w:r w:rsidR="009E082D" w:rsidRPr="0033605D">
        <w:rPr>
          <w:rFonts w:ascii="Verdana" w:hAnsi="Verdana"/>
          <w:iCs/>
          <w:sz w:val="20"/>
          <w:szCs w:val="20"/>
        </w:rPr>
        <w:t>parado</w:t>
      </w:r>
      <w:r w:rsidR="00D105EF" w:rsidRPr="0033605D">
        <w:rPr>
          <w:rFonts w:ascii="Verdana" w:hAnsi="Verdana"/>
          <w:iCs/>
          <w:sz w:val="20"/>
          <w:szCs w:val="20"/>
        </w:rPr>
        <w:t xml:space="preserve"> exclusivamente</w:t>
      </w:r>
      <w:r w:rsidR="009E082D" w:rsidRPr="0033605D">
        <w:rPr>
          <w:rFonts w:ascii="Verdana" w:hAnsi="Verdana"/>
          <w:iCs/>
          <w:sz w:val="20"/>
          <w:szCs w:val="20"/>
        </w:rPr>
        <w:t xml:space="preserve"> en sus competencias y obligaciones como garante y máximo intérprete de la Convención Americana</w:t>
      </w:r>
      <w:r w:rsidR="00D105EF" w:rsidRPr="0033605D">
        <w:rPr>
          <w:rFonts w:ascii="Verdana" w:hAnsi="Verdana"/>
          <w:iCs/>
          <w:sz w:val="20"/>
          <w:szCs w:val="20"/>
        </w:rPr>
        <w:t xml:space="preserve"> de Derechos Humanos</w:t>
      </w:r>
      <w:r w:rsidR="009E082D" w:rsidRPr="0033605D">
        <w:rPr>
          <w:rFonts w:ascii="Verdana" w:hAnsi="Verdana"/>
          <w:iCs/>
          <w:sz w:val="20"/>
          <w:szCs w:val="20"/>
        </w:rPr>
        <w:t>.</w:t>
      </w:r>
    </w:p>
    <w:p w14:paraId="0EDFFB50" w14:textId="4A8F658C" w:rsidR="006F361C" w:rsidRPr="00BE3D0D" w:rsidRDefault="006F361C" w:rsidP="00BE3D0D">
      <w:pPr>
        <w:autoSpaceDE w:val="0"/>
        <w:autoSpaceDN w:val="0"/>
        <w:adjustRightInd w:val="0"/>
        <w:spacing w:after="0" w:line="240" w:lineRule="auto"/>
        <w:jc w:val="both"/>
        <w:rPr>
          <w:rFonts w:ascii="Verdana" w:hAnsi="Verdana"/>
          <w:sz w:val="12"/>
          <w:szCs w:val="12"/>
          <w:lang w:val="es-ES"/>
        </w:rPr>
      </w:pPr>
    </w:p>
    <w:p w14:paraId="67872444" w14:textId="7DD90152" w:rsidR="00BE3D0D" w:rsidRDefault="00BE3D0D" w:rsidP="00BE3D0D">
      <w:pPr>
        <w:autoSpaceDE w:val="0"/>
        <w:autoSpaceDN w:val="0"/>
        <w:adjustRightInd w:val="0"/>
        <w:spacing w:after="0" w:line="240" w:lineRule="auto"/>
        <w:jc w:val="both"/>
        <w:rPr>
          <w:rFonts w:ascii="Verdana" w:hAnsi="Verdana"/>
          <w:sz w:val="12"/>
          <w:szCs w:val="12"/>
          <w:lang w:val="es-ES"/>
        </w:rPr>
      </w:pPr>
    </w:p>
    <w:p w14:paraId="4730ED18" w14:textId="77777777" w:rsidR="00BE3D0D" w:rsidRDefault="00BE3D0D" w:rsidP="00BE3D0D">
      <w:pPr>
        <w:autoSpaceDE w:val="0"/>
        <w:autoSpaceDN w:val="0"/>
        <w:adjustRightInd w:val="0"/>
        <w:spacing w:after="0" w:line="240" w:lineRule="auto"/>
        <w:jc w:val="both"/>
        <w:rPr>
          <w:rFonts w:ascii="Verdana" w:hAnsi="Verdana"/>
          <w:sz w:val="12"/>
          <w:szCs w:val="12"/>
          <w:lang w:val="es-ES"/>
        </w:rPr>
      </w:pPr>
    </w:p>
    <w:p w14:paraId="4B40AE6C" w14:textId="77777777" w:rsidR="00BE3D0D" w:rsidRPr="00BE3D0D" w:rsidRDefault="00BE3D0D" w:rsidP="00BE3D0D">
      <w:pPr>
        <w:autoSpaceDE w:val="0"/>
        <w:autoSpaceDN w:val="0"/>
        <w:adjustRightInd w:val="0"/>
        <w:spacing w:after="0" w:line="240" w:lineRule="auto"/>
        <w:jc w:val="both"/>
        <w:rPr>
          <w:rFonts w:ascii="Verdana" w:hAnsi="Verdana"/>
          <w:sz w:val="12"/>
          <w:szCs w:val="12"/>
          <w:lang w:val="es-ES"/>
        </w:rPr>
      </w:pPr>
    </w:p>
    <w:p w14:paraId="48449FFC" w14:textId="41656B19" w:rsidR="00BE3D0D" w:rsidRPr="00BE3D0D" w:rsidRDefault="00BE3D0D" w:rsidP="00BE3D0D">
      <w:pPr>
        <w:autoSpaceDE w:val="0"/>
        <w:autoSpaceDN w:val="0"/>
        <w:adjustRightInd w:val="0"/>
        <w:spacing w:after="0" w:line="240" w:lineRule="auto"/>
        <w:ind w:left="5664"/>
        <w:jc w:val="both"/>
        <w:rPr>
          <w:rFonts w:ascii="Verdana" w:hAnsi="Verdana"/>
          <w:sz w:val="20"/>
          <w:szCs w:val="20"/>
          <w:lang w:val="es-ES"/>
        </w:rPr>
      </w:pPr>
      <w:r w:rsidRPr="00BE3D0D">
        <w:rPr>
          <w:rFonts w:ascii="Verdana" w:hAnsi="Verdana"/>
          <w:sz w:val="18"/>
          <w:szCs w:val="18"/>
          <w:lang w:val="es-ES"/>
        </w:rPr>
        <w:t xml:space="preserve"> </w:t>
      </w:r>
      <w:r w:rsidRPr="00BE3D0D">
        <w:rPr>
          <w:rFonts w:ascii="Verdana" w:hAnsi="Verdana"/>
          <w:sz w:val="20"/>
          <w:szCs w:val="20"/>
          <w:lang w:val="es-ES"/>
        </w:rPr>
        <w:t>Humberto Antonio Sierra Porto</w:t>
      </w:r>
    </w:p>
    <w:p w14:paraId="0BBA6CAD" w14:textId="77777777" w:rsidR="00BE3D0D" w:rsidRPr="00BE3D0D" w:rsidRDefault="00BE3D0D" w:rsidP="00BE3D0D">
      <w:pPr>
        <w:autoSpaceDE w:val="0"/>
        <w:autoSpaceDN w:val="0"/>
        <w:adjustRightInd w:val="0"/>
        <w:spacing w:after="0" w:line="240" w:lineRule="auto"/>
        <w:ind w:left="5664"/>
        <w:jc w:val="both"/>
        <w:rPr>
          <w:rFonts w:ascii="Verdana" w:hAnsi="Verdana"/>
          <w:sz w:val="20"/>
          <w:szCs w:val="20"/>
          <w:lang w:val="es-ES"/>
        </w:rPr>
      </w:pPr>
      <w:r w:rsidRPr="00BE3D0D">
        <w:rPr>
          <w:rFonts w:ascii="Verdana" w:hAnsi="Verdana"/>
          <w:sz w:val="20"/>
          <w:szCs w:val="20"/>
          <w:lang w:val="es-ES"/>
        </w:rPr>
        <w:t xml:space="preserve">                    Juez</w:t>
      </w:r>
    </w:p>
    <w:p w14:paraId="73A06295" w14:textId="77777777" w:rsidR="00BE3D0D" w:rsidRPr="00BE3D0D" w:rsidRDefault="00BE3D0D" w:rsidP="00BE3D0D">
      <w:pPr>
        <w:spacing w:after="0" w:line="240" w:lineRule="auto"/>
        <w:rPr>
          <w:rFonts w:ascii="Verdana" w:hAnsi="Verdana"/>
          <w:sz w:val="20"/>
          <w:szCs w:val="20"/>
        </w:rPr>
      </w:pPr>
      <w:r w:rsidRPr="00BE3D0D">
        <w:rPr>
          <w:rFonts w:ascii="Verdana" w:hAnsi="Verdana"/>
          <w:sz w:val="20"/>
          <w:szCs w:val="20"/>
        </w:rPr>
        <w:t xml:space="preserve">Pablo Saavedra Alessandri </w:t>
      </w:r>
    </w:p>
    <w:p w14:paraId="6AF2D3F4" w14:textId="77777777" w:rsidR="00BE3D0D" w:rsidRPr="00BE3D0D" w:rsidRDefault="00BE3D0D" w:rsidP="00BE3D0D">
      <w:pPr>
        <w:spacing w:after="0" w:line="240" w:lineRule="auto"/>
        <w:rPr>
          <w:rFonts w:ascii="Verdana" w:hAnsi="Verdana"/>
          <w:sz w:val="20"/>
          <w:szCs w:val="20"/>
        </w:rPr>
      </w:pPr>
      <w:r w:rsidRPr="00BE3D0D">
        <w:rPr>
          <w:rFonts w:ascii="Verdana" w:hAnsi="Verdana"/>
          <w:sz w:val="20"/>
          <w:szCs w:val="20"/>
        </w:rPr>
        <w:tab/>
        <w:t>Secretario</w:t>
      </w:r>
    </w:p>
    <w:sectPr w:rsidR="00BE3D0D" w:rsidRPr="00BE3D0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48E7F" w14:textId="77777777" w:rsidR="00190791" w:rsidRDefault="00190791" w:rsidP="00652EA6">
      <w:pPr>
        <w:spacing w:after="0" w:line="240" w:lineRule="auto"/>
      </w:pPr>
      <w:r>
        <w:separator/>
      </w:r>
    </w:p>
  </w:endnote>
  <w:endnote w:type="continuationSeparator" w:id="0">
    <w:p w14:paraId="06004320" w14:textId="77777777" w:rsidR="00190791" w:rsidRDefault="00190791" w:rsidP="0065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Italic">
    <w:altName w:val="Malgun Gothic Semilight"/>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018735"/>
      <w:docPartObj>
        <w:docPartGallery w:val="Page Numbers (Bottom of Page)"/>
        <w:docPartUnique/>
      </w:docPartObj>
    </w:sdtPr>
    <w:sdtContent>
      <w:p w14:paraId="40D5B0E2" w14:textId="77777777" w:rsidR="002B0B6B" w:rsidRDefault="002B0B6B">
        <w:pPr>
          <w:pStyle w:val="Piedepgina"/>
          <w:jc w:val="center"/>
        </w:pPr>
        <w:r>
          <w:fldChar w:fldCharType="begin"/>
        </w:r>
        <w:r>
          <w:instrText>PAGE   \* MERGEFORMAT</w:instrText>
        </w:r>
        <w:r>
          <w:fldChar w:fldCharType="separate"/>
        </w:r>
        <w:r>
          <w:rPr>
            <w:lang w:val="es-ES"/>
          </w:rPr>
          <w:t>2</w:t>
        </w:r>
        <w:r>
          <w:fldChar w:fldCharType="end"/>
        </w:r>
      </w:p>
    </w:sdtContent>
  </w:sdt>
  <w:p w14:paraId="60EF98F4" w14:textId="77777777" w:rsidR="002B0B6B" w:rsidRDefault="002B0B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444DE" w14:textId="77777777" w:rsidR="00190791" w:rsidRDefault="00190791" w:rsidP="00652EA6">
      <w:pPr>
        <w:spacing w:after="0" w:line="240" w:lineRule="auto"/>
      </w:pPr>
      <w:r>
        <w:separator/>
      </w:r>
    </w:p>
  </w:footnote>
  <w:footnote w:type="continuationSeparator" w:id="0">
    <w:p w14:paraId="4F381F81" w14:textId="77777777" w:rsidR="00190791" w:rsidRDefault="00190791" w:rsidP="00652EA6">
      <w:pPr>
        <w:spacing w:after="0" w:line="240" w:lineRule="auto"/>
      </w:pPr>
      <w:r>
        <w:continuationSeparator/>
      </w:r>
    </w:p>
  </w:footnote>
  <w:footnote w:id="1">
    <w:p w14:paraId="7BA98D81" w14:textId="25DF9AAD" w:rsidR="00C105C6" w:rsidRPr="005645E9" w:rsidRDefault="00C105C6"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0093257E" w:rsidRPr="005645E9">
        <w:rPr>
          <w:rFonts w:ascii="Verdana" w:hAnsi="Verdana"/>
          <w:sz w:val="16"/>
          <w:szCs w:val="16"/>
        </w:rPr>
        <w:t xml:space="preserve">No se debe perder de vista que la argumentación jurídica a partir de la dicción literal del artículo 26 de la Convención es diferente a las alternativas de protección de los derechos prestacionales a través de las figuras de la conexidad y la interdependencia. Creo que, en este caso, existieron violaciones al derecho a la salud en conexidad con los derechos a la vida y la integridad personal, y utilizar los argumentos de justiciabilidad de los derechos económicos, sociales, culturales y ambientales, solo debilita más la decisión de la Corte. Para un análisis detallado de mi postura sobre la materia ver: </w:t>
      </w:r>
      <w:r w:rsidRPr="005645E9">
        <w:rPr>
          <w:rFonts w:ascii="Verdana" w:hAnsi="Verdana"/>
          <w:i/>
          <w:iCs/>
          <w:sz w:val="16"/>
          <w:szCs w:val="16"/>
        </w:rPr>
        <w:t>Caso Gonzales Lluy y otros Vs. Ecuador. Excepciones Preliminares, Fondo, Reparaciones y Costas.</w:t>
      </w:r>
      <w:r w:rsidRPr="005645E9">
        <w:rPr>
          <w:rFonts w:ascii="Verdana" w:hAnsi="Verdana"/>
          <w:sz w:val="16"/>
          <w:szCs w:val="16"/>
        </w:rPr>
        <w:t xml:space="preserve"> Sentencia de 1 de septiembre de 2015. Serie C No. 298. Voto concurrente del Juez Humberto Antonio Sierra Porto; </w:t>
      </w:r>
      <w:r w:rsidRPr="005645E9">
        <w:rPr>
          <w:rFonts w:ascii="Verdana" w:hAnsi="Verdana"/>
          <w:i/>
          <w:iCs/>
          <w:sz w:val="16"/>
          <w:szCs w:val="16"/>
        </w:rPr>
        <w:t>Caso Poblete Vilches y otros Vs. Chile. Fondo, Reparaciones y Costas</w:t>
      </w:r>
      <w:r w:rsidRPr="005645E9">
        <w:rPr>
          <w:rFonts w:ascii="Verdana" w:hAnsi="Verdana"/>
          <w:sz w:val="16"/>
          <w:szCs w:val="16"/>
        </w:rPr>
        <w:t xml:space="preserve">. Sentencia de 8 de marzo de 2018. Serie C No. 349. Voto concurrente del Juez Humberto Antonio Sierra Porto; </w:t>
      </w:r>
      <w:r w:rsidRPr="005645E9">
        <w:rPr>
          <w:rFonts w:ascii="Verdana" w:hAnsi="Verdana"/>
          <w:i/>
          <w:iCs/>
          <w:sz w:val="16"/>
          <w:szCs w:val="16"/>
        </w:rPr>
        <w:t xml:space="preserve">Caso Cuscul Pivaral y otros Vs. Guatemala. Excepción Preliminar, Fondo, Reparaciones y Costas. </w:t>
      </w:r>
      <w:r w:rsidRPr="005645E9">
        <w:rPr>
          <w:rFonts w:ascii="Verdana" w:hAnsi="Verdana"/>
          <w:sz w:val="16"/>
          <w:szCs w:val="16"/>
        </w:rPr>
        <w:t xml:space="preserve">Sentencia de 23 de agosto de 2018. Serie C No. 359. Voto concurrente del Juez Humberto Antonio Sierra Porto; </w:t>
      </w:r>
      <w:r w:rsidRPr="005645E9">
        <w:rPr>
          <w:rFonts w:ascii="Verdana" w:hAnsi="Verdana"/>
          <w:i/>
          <w:iCs/>
          <w:sz w:val="16"/>
          <w:szCs w:val="16"/>
        </w:rPr>
        <w:t>Caso Hernández Vs. Argentina. Excepción Preliminar, Fondo, Reparaciones y Costas</w:t>
      </w:r>
      <w:r w:rsidRPr="005645E9">
        <w:rPr>
          <w:rFonts w:ascii="Verdana" w:hAnsi="Verdana"/>
          <w:sz w:val="16"/>
          <w:szCs w:val="16"/>
        </w:rPr>
        <w:t>. Sentencia de 22 de noviembre de 2019. Serie C No. 395. Voto parcialmente disidente del Juez Humberto Antonio Sierra Porto.</w:t>
      </w:r>
    </w:p>
  </w:footnote>
  <w:footnote w:id="2">
    <w:p w14:paraId="4C9CBAEC" w14:textId="5A27595A" w:rsidR="002C1020" w:rsidRPr="005645E9" w:rsidRDefault="002C1020"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00890614" w:rsidRPr="005645E9">
        <w:rPr>
          <w:rFonts w:ascii="Verdana" w:hAnsi="Verdana"/>
          <w:sz w:val="16"/>
          <w:szCs w:val="16"/>
        </w:rPr>
        <w:tab/>
      </w:r>
      <w:r w:rsidR="00890614" w:rsidRPr="005645E9">
        <w:rPr>
          <w:rFonts w:ascii="Verdana" w:hAnsi="Verdana"/>
          <w:i/>
          <w:iCs/>
          <w:sz w:val="16"/>
          <w:szCs w:val="16"/>
        </w:rPr>
        <w:t>Cfr</w:t>
      </w:r>
      <w:r w:rsidR="00890614" w:rsidRPr="005645E9">
        <w:rPr>
          <w:rFonts w:ascii="Verdana" w:hAnsi="Verdana"/>
          <w:sz w:val="16"/>
          <w:szCs w:val="16"/>
        </w:rPr>
        <w:t xml:space="preserve">. </w:t>
      </w:r>
      <w:r w:rsidRPr="005B4245">
        <w:rPr>
          <w:rFonts w:ascii="Verdana" w:hAnsi="Verdana"/>
          <w:i/>
          <w:iCs/>
          <w:sz w:val="16"/>
          <w:szCs w:val="16"/>
          <w:lang w:val="es-CR"/>
        </w:rPr>
        <w:t>Caso Artavia Murillo y otros (Fecundación in Vitro) Vs. Costa Rica.</w:t>
      </w:r>
      <w:r w:rsidRPr="005645E9">
        <w:rPr>
          <w:rFonts w:ascii="Verdana" w:hAnsi="Verdana"/>
          <w:sz w:val="16"/>
          <w:szCs w:val="16"/>
          <w:lang w:val="es-CR"/>
        </w:rPr>
        <w:t xml:space="preserve"> </w:t>
      </w:r>
      <w:r w:rsidRPr="005B4245">
        <w:rPr>
          <w:rFonts w:ascii="Verdana" w:hAnsi="Verdana"/>
          <w:i/>
          <w:iCs/>
          <w:sz w:val="16"/>
          <w:szCs w:val="16"/>
          <w:lang w:val="es-CR"/>
        </w:rPr>
        <w:t xml:space="preserve">Excepciones Preliminares, Fondo, Reparaciones y Costas. </w:t>
      </w:r>
      <w:r w:rsidRPr="005645E9">
        <w:rPr>
          <w:rFonts w:ascii="Verdana" w:hAnsi="Verdana"/>
          <w:sz w:val="16"/>
          <w:szCs w:val="16"/>
          <w:lang w:val="es-CR"/>
        </w:rPr>
        <w:t xml:space="preserve">Sentencia de 28 de noviembre de 2012. Serie C No. 257. Párr. </w:t>
      </w:r>
      <w:r w:rsidR="00890614" w:rsidRPr="005645E9">
        <w:rPr>
          <w:rFonts w:ascii="Verdana" w:hAnsi="Verdana"/>
          <w:sz w:val="16"/>
          <w:szCs w:val="16"/>
          <w:lang w:val="es-CR"/>
        </w:rPr>
        <w:t>141-150.</w:t>
      </w:r>
    </w:p>
  </w:footnote>
  <w:footnote w:id="3">
    <w:p w14:paraId="3C7F9422" w14:textId="6E376DC2" w:rsidR="006E2CFD" w:rsidRPr="005645E9" w:rsidRDefault="006E2CFD"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645E9">
        <w:rPr>
          <w:rFonts w:ascii="Verdana" w:hAnsi="Verdana"/>
          <w:i/>
          <w:iCs/>
          <w:sz w:val="16"/>
          <w:szCs w:val="16"/>
        </w:rPr>
        <w:t>Cfr</w:t>
      </w:r>
      <w:r w:rsidRPr="005645E9">
        <w:rPr>
          <w:rFonts w:ascii="Verdana" w:hAnsi="Verdana"/>
          <w:sz w:val="16"/>
          <w:szCs w:val="16"/>
        </w:rPr>
        <w:t xml:space="preserve">. </w:t>
      </w:r>
      <w:r w:rsidRPr="005B4245">
        <w:rPr>
          <w:rFonts w:ascii="Verdana" w:hAnsi="Verdana"/>
          <w:i/>
          <w:iCs/>
          <w:sz w:val="16"/>
          <w:szCs w:val="16"/>
          <w:lang w:val="es-CR"/>
        </w:rPr>
        <w:t>Caso Gonzales Lluy y otros Vs. Ecuador. Excepciones Preliminares, Fondo, Reparaciones y Costas.</w:t>
      </w:r>
      <w:r w:rsidRPr="005645E9">
        <w:rPr>
          <w:rFonts w:ascii="Verdana" w:hAnsi="Verdana"/>
          <w:sz w:val="16"/>
          <w:szCs w:val="16"/>
          <w:lang w:val="es-CR"/>
        </w:rPr>
        <w:t xml:space="preserve"> Sentencia de 1 de septiembre de 2015. Serie C No. 298; </w:t>
      </w:r>
      <w:r w:rsidRPr="005B4245">
        <w:rPr>
          <w:rFonts w:ascii="Verdana" w:hAnsi="Verdana"/>
          <w:i/>
          <w:iCs/>
          <w:sz w:val="16"/>
          <w:szCs w:val="16"/>
          <w:lang w:val="es-CR"/>
        </w:rPr>
        <w:t>Caso I.V. Vs. Bolivia. Excepciones Preliminares, Fondo, Reparaciones y Costas.</w:t>
      </w:r>
      <w:r w:rsidRPr="005645E9">
        <w:rPr>
          <w:rFonts w:ascii="Verdana" w:hAnsi="Verdana"/>
          <w:sz w:val="16"/>
          <w:szCs w:val="16"/>
          <w:lang w:val="es-CR"/>
        </w:rPr>
        <w:t xml:space="preserve"> Sentencia de 30 de noviembre de 2016. Serie C No. 329; </w:t>
      </w:r>
      <w:r w:rsidRPr="005B4245">
        <w:rPr>
          <w:rFonts w:ascii="Verdana" w:hAnsi="Verdana"/>
          <w:i/>
          <w:iCs/>
          <w:sz w:val="16"/>
          <w:szCs w:val="16"/>
          <w:lang w:val="es-CR"/>
        </w:rPr>
        <w:t>Caso Manuela y otros Vs. El Salvador. Excepciones preliminares, Fondo, Reparaciones y Costas.</w:t>
      </w:r>
      <w:r w:rsidRPr="005645E9">
        <w:rPr>
          <w:rFonts w:ascii="Verdana" w:hAnsi="Verdana"/>
          <w:sz w:val="16"/>
          <w:szCs w:val="16"/>
          <w:lang w:val="es-CR"/>
        </w:rPr>
        <w:t xml:space="preserve"> Sentencia de 2 de noviembre de 2021. Serie C No. 441; </w:t>
      </w:r>
      <w:r w:rsidRPr="005B4245">
        <w:rPr>
          <w:rFonts w:ascii="Verdana" w:hAnsi="Verdana"/>
          <w:i/>
          <w:iCs/>
          <w:sz w:val="16"/>
          <w:szCs w:val="16"/>
          <w:lang w:val="es-CR"/>
        </w:rPr>
        <w:t>Caso Brítez Arce y otros Vs. Argentina. Fondo, Reparaciones y Costas.</w:t>
      </w:r>
      <w:r w:rsidRPr="005645E9">
        <w:rPr>
          <w:rFonts w:ascii="Verdana" w:hAnsi="Verdana"/>
          <w:sz w:val="16"/>
          <w:szCs w:val="16"/>
          <w:lang w:val="es-CR"/>
        </w:rPr>
        <w:t xml:space="preserve"> Sentencia de 16 de noviembre de 2022. Serie C No. 474; </w:t>
      </w:r>
      <w:r w:rsidR="0062187B" w:rsidRPr="005B4245">
        <w:rPr>
          <w:rFonts w:ascii="Verdana" w:hAnsi="Verdana"/>
          <w:i/>
          <w:iCs/>
          <w:sz w:val="16"/>
          <w:szCs w:val="16"/>
          <w:lang w:val="es-CR"/>
        </w:rPr>
        <w:t>Caso María y otros Vs. Argentina. Fondo, Reparaciones y Costas.</w:t>
      </w:r>
      <w:r w:rsidR="0062187B" w:rsidRPr="005645E9">
        <w:rPr>
          <w:rFonts w:ascii="Verdana" w:hAnsi="Verdana"/>
          <w:sz w:val="16"/>
          <w:szCs w:val="16"/>
          <w:lang w:val="es-CR"/>
        </w:rPr>
        <w:t xml:space="preserve"> Sentencia de 22 de agosto de 2023. Serie C No. 494;</w:t>
      </w:r>
      <w:r w:rsidR="0062187B" w:rsidRPr="005645E9">
        <w:rPr>
          <w:rFonts w:ascii="Verdana" w:hAnsi="Verdana"/>
          <w:sz w:val="16"/>
          <w:szCs w:val="16"/>
          <w:lang w:val="es-ES"/>
        </w:rPr>
        <w:t xml:space="preserve"> </w:t>
      </w:r>
      <w:r w:rsidR="0062187B" w:rsidRPr="005B4245">
        <w:rPr>
          <w:rFonts w:ascii="Verdana" w:hAnsi="Verdana"/>
          <w:i/>
          <w:iCs/>
          <w:sz w:val="16"/>
          <w:szCs w:val="16"/>
          <w:lang w:val="es-CR"/>
        </w:rPr>
        <w:t>Caso Rodríguez Pacheco y otra Vs. Venezuela. Excepciones Preliminares, Fondo, Reparaciones y Costas.</w:t>
      </w:r>
      <w:r w:rsidR="0062187B" w:rsidRPr="005645E9">
        <w:rPr>
          <w:rFonts w:ascii="Verdana" w:hAnsi="Verdana"/>
          <w:sz w:val="16"/>
          <w:szCs w:val="16"/>
          <w:lang w:val="es-CR"/>
        </w:rPr>
        <w:t xml:space="preserve"> Sentencia de 1 de septiembre de 2023. Serie C No. 504.</w:t>
      </w:r>
    </w:p>
  </w:footnote>
  <w:footnote w:id="4">
    <w:p w14:paraId="3C8B2C33" w14:textId="77777777" w:rsidR="00095BC2" w:rsidRPr="005645E9" w:rsidRDefault="00095BC2"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t>En el mismo sentido el Comité de Derechos Económicos Sociales y Culturales ha sostenido “</w:t>
      </w:r>
      <w:r w:rsidRPr="005645E9">
        <w:rPr>
          <w:rFonts w:ascii="Verdana" w:hAnsi="Verdana"/>
          <w:sz w:val="16"/>
          <w:szCs w:val="16"/>
          <w:lang w:val="es-ES"/>
        </w:rPr>
        <w:t>El derecho a la salud sexual y reproductiva también es indivisible e interdependiente respecto de otros derechos humanos. Está íntimamente ligado a los derechos civiles y políticos que fundamentan la integridad física y mental de las personas y su autonomía, como los derechos a la vida; a la libertad y la seguridad de la persona; a no ser sometido a tortura ni otros tratos crueles, inhumanos o degradantes; la privacidad y el respeto por la vida familiar; y la no discriminación y la igualdad</w:t>
      </w:r>
      <w:r w:rsidRPr="005645E9">
        <w:rPr>
          <w:rFonts w:ascii="Verdana" w:hAnsi="Verdana"/>
          <w:sz w:val="16"/>
          <w:szCs w:val="16"/>
        </w:rPr>
        <w:t xml:space="preserve">”. </w:t>
      </w:r>
      <w:r w:rsidRPr="005645E9">
        <w:rPr>
          <w:rFonts w:ascii="Verdana" w:hAnsi="Verdana"/>
          <w:sz w:val="16"/>
          <w:szCs w:val="16"/>
          <w:lang w:val="es-ES"/>
        </w:rPr>
        <w:t>Comité de Derechos Económicos, Sociales y Culturales. Observación General No. 22 (2016), párr. 10.</w:t>
      </w:r>
    </w:p>
  </w:footnote>
  <w:footnote w:id="5">
    <w:p w14:paraId="5BFFDFCA" w14:textId="2E6DC901" w:rsidR="00211165" w:rsidRPr="005645E9" w:rsidRDefault="00211165"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t xml:space="preserve">Solo por ver ejemplos recientes: </w:t>
      </w:r>
      <w:r w:rsidRPr="005B4245">
        <w:rPr>
          <w:rFonts w:ascii="Verdana" w:hAnsi="Verdana"/>
          <w:i/>
          <w:iCs/>
          <w:sz w:val="16"/>
          <w:szCs w:val="16"/>
        </w:rPr>
        <w:t>Caso Pérez Lucas y otros Vs. Guatemala. Fondo, Reparaciones y Costas.</w:t>
      </w:r>
      <w:r w:rsidRPr="005645E9">
        <w:rPr>
          <w:rFonts w:ascii="Verdana" w:hAnsi="Verdana"/>
          <w:sz w:val="16"/>
          <w:szCs w:val="16"/>
        </w:rPr>
        <w:t xml:space="preserve"> Sentencia de 4 de septiembre de 2024. Serie C No. 536, párr. 134 [derecho a la verdad]; </w:t>
      </w:r>
      <w:r w:rsidRPr="005B4245">
        <w:rPr>
          <w:rFonts w:ascii="Verdana" w:hAnsi="Verdana"/>
          <w:i/>
          <w:iCs/>
          <w:sz w:val="16"/>
          <w:szCs w:val="16"/>
        </w:rPr>
        <w:t>Caso Capriles Vs. Venezuela. Excepciones Preliminares, Fondo, Reparaciones y Costas.</w:t>
      </w:r>
      <w:r w:rsidRPr="005645E9">
        <w:rPr>
          <w:rFonts w:ascii="Verdana" w:hAnsi="Verdana"/>
          <w:sz w:val="16"/>
          <w:szCs w:val="16"/>
        </w:rPr>
        <w:t xml:space="preserve"> Sentencia de 10 de octubre de 2024. Serie C No. 541, párrs. 145 y 189 [derecho a la libertad de expresión, a la igualdad ante la ley y a la defensa]; </w:t>
      </w:r>
      <w:r w:rsidRPr="005B4245">
        <w:rPr>
          <w:rFonts w:ascii="Verdana" w:hAnsi="Verdana"/>
          <w:i/>
          <w:iCs/>
          <w:sz w:val="16"/>
          <w:szCs w:val="16"/>
        </w:rPr>
        <w:t>Caso Huilcamán Paillama y otros Vs. Chile. Fondo, Reparaciones y Costas.</w:t>
      </w:r>
      <w:r w:rsidRPr="005645E9">
        <w:rPr>
          <w:rFonts w:ascii="Verdana" w:hAnsi="Verdana"/>
          <w:sz w:val="16"/>
          <w:szCs w:val="16"/>
        </w:rPr>
        <w:t xml:space="preserve"> Sentencia de 18 de junio de 2024. Serie C No. 527, párr. 249 [derecho de reunión y libre determinación de los pueblos indígenas y tribales]. </w:t>
      </w:r>
    </w:p>
  </w:footnote>
  <w:footnote w:id="6">
    <w:p w14:paraId="76429C53" w14:textId="2EBE32CB" w:rsidR="003E7E1D" w:rsidRPr="005645E9" w:rsidRDefault="003E7E1D"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FA65A9" w:rsidRPr="005645E9">
        <w:rPr>
          <w:rFonts w:ascii="Verdana" w:hAnsi="Verdana"/>
          <w:sz w:val="16"/>
          <w:szCs w:val="16"/>
        </w:rPr>
        <w:tab/>
      </w:r>
      <w:r w:rsidRPr="005645E9">
        <w:rPr>
          <w:rFonts w:ascii="Verdana" w:hAnsi="Verdana"/>
          <w:sz w:val="16"/>
          <w:szCs w:val="16"/>
          <w:lang w:val="es-ES"/>
        </w:rPr>
        <w:t>Informe de fondo (expediente de fondo, p. 2)</w:t>
      </w:r>
      <w:r w:rsidR="0062187B" w:rsidRPr="005645E9">
        <w:rPr>
          <w:rFonts w:ascii="Verdana" w:hAnsi="Verdana"/>
          <w:sz w:val="16"/>
          <w:szCs w:val="16"/>
          <w:lang w:val="es-ES"/>
        </w:rPr>
        <w:t xml:space="preserve">. </w:t>
      </w:r>
    </w:p>
  </w:footnote>
  <w:footnote w:id="7">
    <w:p w14:paraId="3D9463F5" w14:textId="7F6F6870" w:rsidR="00FA65A9" w:rsidRPr="005645E9" w:rsidRDefault="00FA65A9"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0062187B" w:rsidRPr="005645E9">
        <w:rPr>
          <w:rFonts w:ascii="Verdana" w:hAnsi="Verdana"/>
          <w:sz w:val="16"/>
          <w:szCs w:val="16"/>
        </w:rPr>
        <w:tab/>
      </w:r>
      <w:r w:rsidR="0062187B" w:rsidRPr="005645E9">
        <w:rPr>
          <w:rFonts w:ascii="Verdana" w:hAnsi="Verdana"/>
          <w:i/>
          <w:iCs/>
          <w:sz w:val="16"/>
          <w:szCs w:val="16"/>
        </w:rPr>
        <w:t>Cfr</w:t>
      </w:r>
      <w:r w:rsidR="0062187B" w:rsidRPr="005645E9">
        <w:rPr>
          <w:rFonts w:ascii="Verdana" w:hAnsi="Verdana"/>
          <w:sz w:val="16"/>
          <w:szCs w:val="16"/>
        </w:rPr>
        <w:t xml:space="preserve">. </w:t>
      </w:r>
      <w:r w:rsidR="0062187B" w:rsidRPr="005B4245">
        <w:rPr>
          <w:rFonts w:ascii="Verdana" w:hAnsi="Verdana"/>
          <w:i/>
          <w:iCs/>
          <w:sz w:val="16"/>
          <w:szCs w:val="16"/>
          <w:lang w:val="es-CR"/>
        </w:rPr>
        <w:t>Caso Artavia Murillo y otros (Fecundación in Vitro) Vs. Costa Rica, supra,</w:t>
      </w:r>
      <w:r w:rsidR="0062187B" w:rsidRPr="005645E9">
        <w:rPr>
          <w:rFonts w:ascii="Verdana" w:hAnsi="Verdana"/>
          <w:sz w:val="16"/>
          <w:szCs w:val="16"/>
          <w:lang w:val="es-CR"/>
        </w:rPr>
        <w:t xml:space="preserve"> párr</w:t>
      </w:r>
      <w:r w:rsidR="009507A1">
        <w:rPr>
          <w:rFonts w:ascii="Verdana" w:hAnsi="Verdana"/>
          <w:sz w:val="16"/>
          <w:szCs w:val="16"/>
          <w:lang w:val="es-CR"/>
        </w:rPr>
        <w:t>.</w:t>
      </w:r>
      <w:r w:rsidR="0062187B" w:rsidRPr="005645E9">
        <w:rPr>
          <w:rFonts w:ascii="Verdana" w:hAnsi="Verdana"/>
          <w:sz w:val="16"/>
          <w:szCs w:val="16"/>
          <w:lang w:val="es-CR"/>
        </w:rPr>
        <w:t xml:space="preserve"> 142</w:t>
      </w:r>
      <w:r w:rsidR="00965DF5" w:rsidRPr="005645E9">
        <w:rPr>
          <w:rFonts w:ascii="Verdana" w:hAnsi="Verdana"/>
          <w:sz w:val="16"/>
          <w:szCs w:val="16"/>
          <w:lang w:val="es-CR"/>
        </w:rPr>
        <w:t xml:space="preserve">-143. </w:t>
      </w:r>
      <w:r w:rsidR="0062187B" w:rsidRPr="005645E9">
        <w:rPr>
          <w:rFonts w:ascii="Verdana" w:hAnsi="Verdana"/>
          <w:sz w:val="16"/>
          <w:szCs w:val="16"/>
          <w:lang w:val="es-CR"/>
        </w:rPr>
        <w:t xml:space="preserve"> </w:t>
      </w:r>
    </w:p>
  </w:footnote>
  <w:footnote w:id="8">
    <w:p w14:paraId="109BA27C" w14:textId="5037D565" w:rsidR="001C0E67" w:rsidRPr="005645E9" w:rsidRDefault="001C0E67"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4A5B5E" w:rsidRPr="005645E9">
        <w:rPr>
          <w:rFonts w:ascii="Verdana" w:hAnsi="Verdana"/>
          <w:sz w:val="16"/>
          <w:szCs w:val="16"/>
        </w:rPr>
        <w:tab/>
      </w:r>
      <w:r w:rsidR="004A5B5E" w:rsidRPr="005645E9">
        <w:rPr>
          <w:rFonts w:ascii="Verdana" w:hAnsi="Verdana"/>
          <w:i/>
          <w:iCs/>
          <w:sz w:val="16"/>
          <w:szCs w:val="16"/>
        </w:rPr>
        <w:t>Cfr</w:t>
      </w:r>
      <w:r w:rsidR="004A5B5E" w:rsidRPr="005645E9">
        <w:rPr>
          <w:rFonts w:ascii="Verdana" w:hAnsi="Verdana"/>
          <w:sz w:val="16"/>
          <w:szCs w:val="16"/>
        </w:rPr>
        <w:t xml:space="preserve">. </w:t>
      </w:r>
      <w:r w:rsidR="004A5B5E" w:rsidRPr="005B4245">
        <w:rPr>
          <w:rFonts w:ascii="Verdana" w:hAnsi="Verdana"/>
          <w:i/>
          <w:iCs/>
          <w:sz w:val="16"/>
          <w:szCs w:val="16"/>
          <w:lang w:val="es-CR"/>
        </w:rPr>
        <w:t>Caso Artavia Murillo y otros (Fecundación in Vitro) Vs. Costa Rica, supra</w:t>
      </w:r>
      <w:r w:rsidR="004A5B5E" w:rsidRPr="005645E9">
        <w:rPr>
          <w:rFonts w:ascii="Verdana" w:hAnsi="Verdana"/>
          <w:sz w:val="16"/>
          <w:szCs w:val="16"/>
          <w:lang w:val="es-CR"/>
        </w:rPr>
        <w:t xml:space="preserve">, </w:t>
      </w:r>
      <w:r w:rsidRPr="005645E9">
        <w:rPr>
          <w:rFonts w:ascii="Verdana" w:hAnsi="Verdana"/>
          <w:sz w:val="16"/>
          <w:szCs w:val="16"/>
          <w:lang w:val="es-CR"/>
        </w:rPr>
        <w:t>párr</w:t>
      </w:r>
      <w:r w:rsidR="009507A1">
        <w:rPr>
          <w:rFonts w:ascii="Verdana" w:hAnsi="Verdana"/>
          <w:sz w:val="16"/>
          <w:szCs w:val="16"/>
          <w:lang w:val="es-CR"/>
        </w:rPr>
        <w:t>.</w:t>
      </w:r>
      <w:r w:rsidRPr="005645E9">
        <w:rPr>
          <w:rFonts w:ascii="Verdana" w:hAnsi="Verdana"/>
          <w:sz w:val="16"/>
          <w:szCs w:val="16"/>
          <w:lang w:val="es-CR"/>
        </w:rPr>
        <w:t xml:space="preserve"> 341.</w:t>
      </w:r>
      <w:r w:rsidR="00095BC2" w:rsidRPr="005645E9">
        <w:rPr>
          <w:rFonts w:ascii="Verdana" w:hAnsi="Verdana"/>
          <w:sz w:val="16"/>
          <w:szCs w:val="16"/>
          <w:lang w:val="es-CR"/>
        </w:rPr>
        <w:t xml:space="preserve"> En el mismo sentido </w:t>
      </w:r>
      <w:r w:rsidR="00D51FA7" w:rsidRPr="005645E9">
        <w:rPr>
          <w:rFonts w:ascii="Verdana" w:hAnsi="Verdana"/>
          <w:sz w:val="16"/>
          <w:szCs w:val="16"/>
          <w:lang w:val="es-CR"/>
        </w:rPr>
        <w:t xml:space="preserve">ver: </w:t>
      </w:r>
      <w:r w:rsidR="00095BC2" w:rsidRPr="005645E9">
        <w:rPr>
          <w:rFonts w:ascii="Verdana" w:hAnsi="Verdana"/>
          <w:sz w:val="16"/>
          <w:szCs w:val="16"/>
          <w:lang w:val="es-CR"/>
        </w:rPr>
        <w:t>Artículo 16(e) de la Convención para la Eliminación</w:t>
      </w:r>
      <w:r w:rsidR="00EB48EE" w:rsidRPr="005645E9">
        <w:rPr>
          <w:rFonts w:ascii="Verdana" w:hAnsi="Verdana"/>
          <w:sz w:val="16"/>
          <w:szCs w:val="16"/>
          <w:lang w:val="es-CR"/>
        </w:rPr>
        <w:t xml:space="preserve"> </w:t>
      </w:r>
      <w:r w:rsidR="00095BC2" w:rsidRPr="005645E9">
        <w:rPr>
          <w:rFonts w:ascii="Verdana" w:hAnsi="Verdana"/>
          <w:sz w:val="16"/>
          <w:szCs w:val="16"/>
          <w:lang w:val="es-CR"/>
        </w:rPr>
        <w:t>de todas las Formas de Discriminación contra la Mujer. “Los mismos derechos a decidir libre y responsablemente el número de sus hijos y el intervalo entre los nacimientos y a tener acceso a la información, la educación y los medios que les permitan ejercer estos derechos”</w:t>
      </w:r>
    </w:p>
  </w:footnote>
  <w:footnote w:id="9">
    <w:p w14:paraId="3DB52FEF" w14:textId="034D72D1" w:rsidR="001C0E67" w:rsidRPr="005645E9" w:rsidRDefault="001C0E67"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4A5B5E" w:rsidRPr="005645E9">
        <w:rPr>
          <w:rFonts w:ascii="Verdana" w:hAnsi="Verdana"/>
          <w:sz w:val="16"/>
          <w:szCs w:val="16"/>
        </w:rPr>
        <w:tab/>
      </w:r>
      <w:r w:rsidR="004A5B5E" w:rsidRPr="005645E9">
        <w:rPr>
          <w:rFonts w:ascii="Verdana" w:hAnsi="Verdana"/>
          <w:i/>
          <w:iCs/>
          <w:sz w:val="16"/>
          <w:szCs w:val="16"/>
        </w:rPr>
        <w:t>Cfr</w:t>
      </w:r>
      <w:r w:rsidR="004A5B5E" w:rsidRPr="005645E9">
        <w:rPr>
          <w:rFonts w:ascii="Verdana" w:hAnsi="Verdana"/>
          <w:sz w:val="16"/>
          <w:szCs w:val="16"/>
        </w:rPr>
        <w:t xml:space="preserve">. </w:t>
      </w:r>
      <w:r w:rsidR="004A5B5E" w:rsidRPr="005B4245">
        <w:rPr>
          <w:rFonts w:ascii="Verdana" w:hAnsi="Verdana"/>
          <w:i/>
          <w:iCs/>
          <w:sz w:val="16"/>
          <w:szCs w:val="16"/>
          <w:lang w:val="es-CR"/>
        </w:rPr>
        <w:t>Caso Artavia Murillo y otros (Fecundación in Vitro) Vs. Costa Rica</w:t>
      </w:r>
      <w:r w:rsidR="004A5B5E" w:rsidRPr="005645E9">
        <w:rPr>
          <w:rFonts w:ascii="Verdana" w:hAnsi="Verdana"/>
          <w:sz w:val="16"/>
          <w:szCs w:val="16"/>
          <w:lang w:val="es-CR"/>
        </w:rPr>
        <w:t xml:space="preserve">, </w:t>
      </w:r>
      <w:r w:rsidR="004A5B5E" w:rsidRPr="005B4245">
        <w:rPr>
          <w:rFonts w:ascii="Verdana" w:hAnsi="Verdana"/>
          <w:i/>
          <w:iCs/>
          <w:sz w:val="16"/>
          <w:szCs w:val="16"/>
          <w:lang w:val="es-CR"/>
        </w:rPr>
        <w:t>supra</w:t>
      </w:r>
      <w:r w:rsidR="004A5B5E" w:rsidRPr="005645E9">
        <w:rPr>
          <w:rFonts w:ascii="Verdana" w:hAnsi="Verdana"/>
          <w:sz w:val="16"/>
          <w:szCs w:val="16"/>
          <w:lang w:val="es-CR"/>
        </w:rPr>
        <w:t xml:space="preserve">, </w:t>
      </w:r>
      <w:r w:rsidRPr="005645E9">
        <w:rPr>
          <w:rFonts w:ascii="Verdana" w:hAnsi="Verdana"/>
          <w:sz w:val="16"/>
          <w:szCs w:val="16"/>
        </w:rPr>
        <w:t>párr. 146.</w:t>
      </w:r>
    </w:p>
  </w:footnote>
  <w:footnote w:id="10">
    <w:p w14:paraId="6AFCC933" w14:textId="580E34AD" w:rsidR="001C0E67" w:rsidRPr="005645E9" w:rsidRDefault="001C0E67"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4A5B5E" w:rsidRPr="005645E9">
        <w:rPr>
          <w:rFonts w:ascii="Verdana" w:hAnsi="Verdana"/>
          <w:sz w:val="16"/>
          <w:szCs w:val="16"/>
        </w:rPr>
        <w:tab/>
      </w:r>
      <w:r w:rsidR="004A5B5E" w:rsidRPr="005645E9">
        <w:rPr>
          <w:rFonts w:ascii="Verdana" w:hAnsi="Verdana"/>
          <w:i/>
          <w:iCs/>
          <w:sz w:val="16"/>
          <w:szCs w:val="16"/>
        </w:rPr>
        <w:t>Cfr</w:t>
      </w:r>
      <w:r w:rsidR="004A5B5E" w:rsidRPr="005645E9">
        <w:rPr>
          <w:rFonts w:ascii="Verdana" w:hAnsi="Verdana"/>
          <w:sz w:val="16"/>
          <w:szCs w:val="16"/>
        </w:rPr>
        <w:t xml:space="preserve">. </w:t>
      </w:r>
      <w:r w:rsidR="004A5B5E" w:rsidRPr="005B4245">
        <w:rPr>
          <w:rFonts w:ascii="Verdana" w:hAnsi="Verdana"/>
          <w:i/>
          <w:iCs/>
          <w:sz w:val="16"/>
          <w:szCs w:val="16"/>
          <w:lang w:val="es-CR"/>
        </w:rPr>
        <w:t>Caso Artavia Murillo y otros (Fecundación in Vitro) Vs. Costa Rica</w:t>
      </w:r>
      <w:r w:rsidR="004A5B5E" w:rsidRPr="005645E9">
        <w:rPr>
          <w:rFonts w:ascii="Verdana" w:hAnsi="Verdana"/>
          <w:sz w:val="16"/>
          <w:szCs w:val="16"/>
          <w:lang w:val="es-CR"/>
        </w:rPr>
        <w:t xml:space="preserve">, </w:t>
      </w:r>
      <w:r w:rsidR="004A5B5E" w:rsidRPr="005B4245">
        <w:rPr>
          <w:rFonts w:ascii="Verdana" w:hAnsi="Verdana"/>
          <w:i/>
          <w:iCs/>
          <w:sz w:val="16"/>
          <w:szCs w:val="16"/>
          <w:lang w:val="es-CR"/>
        </w:rPr>
        <w:t>supra</w:t>
      </w:r>
      <w:r w:rsidR="004A5B5E" w:rsidRPr="005645E9">
        <w:rPr>
          <w:rFonts w:ascii="Verdana" w:hAnsi="Verdana"/>
          <w:sz w:val="16"/>
          <w:szCs w:val="16"/>
          <w:lang w:val="es-CR"/>
        </w:rPr>
        <w:t xml:space="preserve">, </w:t>
      </w:r>
      <w:r w:rsidR="009507A1">
        <w:rPr>
          <w:rFonts w:ascii="Verdana" w:hAnsi="Verdana"/>
          <w:sz w:val="16"/>
          <w:szCs w:val="16"/>
          <w:lang w:val="es-ES"/>
        </w:rPr>
        <w:t>p</w:t>
      </w:r>
      <w:r w:rsidRPr="005645E9">
        <w:rPr>
          <w:rFonts w:ascii="Verdana" w:hAnsi="Verdana"/>
          <w:sz w:val="16"/>
          <w:szCs w:val="16"/>
          <w:lang w:val="es-ES"/>
        </w:rPr>
        <w:t xml:space="preserve">árr. 150 </w:t>
      </w:r>
    </w:p>
  </w:footnote>
  <w:footnote w:id="11">
    <w:p w14:paraId="14F675C5" w14:textId="3407A9DD" w:rsidR="008618D2" w:rsidRPr="005645E9" w:rsidRDefault="008618D2"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004A5B5E" w:rsidRPr="005645E9">
        <w:rPr>
          <w:rFonts w:ascii="Verdana" w:hAnsi="Verdana"/>
          <w:sz w:val="16"/>
          <w:szCs w:val="16"/>
        </w:rPr>
        <w:tab/>
      </w:r>
      <w:r w:rsidR="004A5B5E" w:rsidRPr="005645E9">
        <w:rPr>
          <w:rFonts w:ascii="Verdana" w:hAnsi="Verdana"/>
          <w:i/>
          <w:iCs/>
          <w:sz w:val="16"/>
          <w:szCs w:val="16"/>
        </w:rPr>
        <w:t>Cfr</w:t>
      </w:r>
      <w:r w:rsidR="004A5B5E" w:rsidRPr="005645E9">
        <w:rPr>
          <w:rFonts w:ascii="Verdana" w:hAnsi="Verdana"/>
          <w:sz w:val="16"/>
          <w:szCs w:val="16"/>
        </w:rPr>
        <w:t xml:space="preserve">. </w:t>
      </w:r>
      <w:r w:rsidR="004A5B5E" w:rsidRPr="005B4245">
        <w:rPr>
          <w:rFonts w:ascii="Verdana" w:hAnsi="Verdana"/>
          <w:i/>
          <w:iCs/>
          <w:sz w:val="16"/>
          <w:szCs w:val="16"/>
          <w:lang w:val="es-CR"/>
        </w:rPr>
        <w:t>Caso Artavia Murillo y otros (Fecundación in Vitro) Vs. Costa Rica</w:t>
      </w:r>
      <w:r w:rsidR="004A5B5E" w:rsidRPr="005645E9">
        <w:rPr>
          <w:rFonts w:ascii="Verdana" w:hAnsi="Verdana"/>
          <w:sz w:val="16"/>
          <w:szCs w:val="16"/>
          <w:lang w:val="es-CR"/>
        </w:rPr>
        <w:t xml:space="preserve">, </w:t>
      </w:r>
      <w:r w:rsidR="004A5B5E" w:rsidRPr="005B4245">
        <w:rPr>
          <w:rFonts w:ascii="Verdana" w:hAnsi="Verdana"/>
          <w:i/>
          <w:iCs/>
          <w:sz w:val="16"/>
          <w:szCs w:val="16"/>
          <w:lang w:val="es-CR"/>
        </w:rPr>
        <w:t>supra</w:t>
      </w:r>
      <w:r w:rsidR="004A5B5E" w:rsidRPr="005645E9">
        <w:rPr>
          <w:rFonts w:ascii="Verdana" w:hAnsi="Verdana"/>
          <w:sz w:val="16"/>
          <w:szCs w:val="16"/>
          <w:lang w:val="es-CR"/>
        </w:rPr>
        <w:t xml:space="preserve">, </w:t>
      </w:r>
      <w:r w:rsidR="009507A1">
        <w:rPr>
          <w:rFonts w:ascii="Verdana" w:hAnsi="Verdana"/>
          <w:sz w:val="16"/>
          <w:szCs w:val="16"/>
        </w:rPr>
        <w:t>p</w:t>
      </w:r>
      <w:r w:rsidR="004A5B5E" w:rsidRPr="005645E9">
        <w:rPr>
          <w:rFonts w:ascii="Verdana" w:hAnsi="Verdana"/>
          <w:sz w:val="16"/>
          <w:szCs w:val="16"/>
        </w:rPr>
        <w:t xml:space="preserve">árr. 148 </w:t>
      </w:r>
    </w:p>
  </w:footnote>
  <w:footnote w:id="12">
    <w:p w14:paraId="47AC9B73" w14:textId="7B5BAB52" w:rsidR="00EC0C7B" w:rsidRPr="005645E9" w:rsidRDefault="00EC0C7B"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BB72DC" w:rsidRPr="005645E9">
        <w:rPr>
          <w:rFonts w:ascii="Verdana" w:hAnsi="Verdana"/>
          <w:sz w:val="16"/>
          <w:szCs w:val="16"/>
        </w:rPr>
        <w:tab/>
      </w:r>
      <w:r w:rsidR="00BB72DC" w:rsidRPr="005645E9">
        <w:rPr>
          <w:rFonts w:ascii="Verdana" w:hAnsi="Verdana"/>
          <w:i/>
          <w:iCs/>
          <w:sz w:val="16"/>
          <w:szCs w:val="16"/>
          <w:lang w:val="es-CR"/>
        </w:rPr>
        <w:t>Cfr</w:t>
      </w:r>
      <w:r w:rsidR="00BB72DC" w:rsidRPr="005645E9">
        <w:rPr>
          <w:rFonts w:ascii="Verdana" w:hAnsi="Verdana"/>
          <w:sz w:val="16"/>
          <w:szCs w:val="16"/>
          <w:lang w:val="es-CR"/>
        </w:rPr>
        <w:t xml:space="preserve">. </w:t>
      </w:r>
      <w:r w:rsidR="00BB72DC" w:rsidRPr="005B4245">
        <w:rPr>
          <w:rFonts w:ascii="Verdana" w:hAnsi="Verdana"/>
          <w:i/>
          <w:iCs/>
          <w:sz w:val="16"/>
          <w:szCs w:val="16"/>
          <w:lang w:val="es-CR"/>
        </w:rPr>
        <w:t>Caso I.V. Vs. Bolivia, supra,</w:t>
      </w:r>
      <w:r w:rsidR="00BB72DC" w:rsidRPr="005645E9">
        <w:rPr>
          <w:rFonts w:ascii="Verdana" w:hAnsi="Verdana"/>
          <w:sz w:val="16"/>
          <w:szCs w:val="16"/>
          <w:lang w:val="es-CR"/>
        </w:rPr>
        <w:t xml:space="preserve"> p</w:t>
      </w:r>
      <w:r w:rsidR="00BB72DC" w:rsidRPr="005645E9">
        <w:rPr>
          <w:rFonts w:ascii="Verdana" w:hAnsi="Verdana"/>
          <w:sz w:val="16"/>
          <w:szCs w:val="16"/>
        </w:rPr>
        <w:t xml:space="preserve">árr. 186. Concretamente la Corte afirmó “[…] que la relación de poder entre el médico y la </w:t>
      </w:r>
      <w:proofErr w:type="gramStart"/>
      <w:r w:rsidR="00BB72DC" w:rsidRPr="005645E9">
        <w:rPr>
          <w:rFonts w:ascii="Verdana" w:hAnsi="Verdana"/>
          <w:sz w:val="16"/>
          <w:szCs w:val="16"/>
        </w:rPr>
        <w:t>paciente,</w:t>
      </w:r>
      <w:proofErr w:type="gramEnd"/>
      <w:r w:rsidR="00BB72DC" w:rsidRPr="005645E9">
        <w:rPr>
          <w:rFonts w:ascii="Verdana" w:hAnsi="Verdana"/>
          <w:sz w:val="16"/>
          <w:szCs w:val="16"/>
        </w:rPr>
        <w:t xml:space="preserve"> puede verse exacerbada por las relaciones desiguales de poder que históricamente han caracterizado a hombres y mujeres, así como por los estereotipos de género socialmente dominantes y persistentes que constituyen de forma consciente o inconsciente la base de prácticas que refuerzan la posición de las mujeres como dependientes y subordinadas”</w:t>
      </w:r>
      <w:r w:rsidR="009507A1">
        <w:rPr>
          <w:rFonts w:ascii="Verdana" w:hAnsi="Verdana"/>
          <w:sz w:val="16"/>
          <w:szCs w:val="16"/>
        </w:rPr>
        <w:t>.</w:t>
      </w:r>
    </w:p>
  </w:footnote>
  <w:footnote w:id="13">
    <w:p w14:paraId="7ACADA13" w14:textId="2F0535FD" w:rsidR="00D51FA7" w:rsidRPr="005645E9" w:rsidRDefault="00D51FA7"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lang w:val="es-CR"/>
        </w:rPr>
        <w:t xml:space="preserve"> </w:t>
      </w:r>
      <w:r w:rsidRPr="005645E9">
        <w:rPr>
          <w:rFonts w:ascii="Verdana" w:hAnsi="Verdana"/>
          <w:sz w:val="16"/>
          <w:szCs w:val="16"/>
          <w:lang w:val="es-CR"/>
        </w:rPr>
        <w:tab/>
      </w:r>
      <w:r w:rsidRPr="005645E9">
        <w:rPr>
          <w:rFonts w:ascii="Verdana" w:hAnsi="Verdana"/>
          <w:i/>
          <w:iCs/>
          <w:sz w:val="16"/>
          <w:szCs w:val="16"/>
          <w:lang w:val="es-CR"/>
        </w:rPr>
        <w:t>Cfr</w:t>
      </w:r>
      <w:r w:rsidRPr="005645E9">
        <w:rPr>
          <w:rFonts w:ascii="Verdana" w:hAnsi="Verdana"/>
          <w:sz w:val="16"/>
          <w:szCs w:val="16"/>
          <w:lang w:val="es-CR"/>
        </w:rPr>
        <w:t xml:space="preserve">. </w:t>
      </w:r>
      <w:r w:rsidRPr="005B4245">
        <w:rPr>
          <w:rFonts w:ascii="Verdana" w:hAnsi="Verdana"/>
          <w:i/>
          <w:iCs/>
          <w:sz w:val="16"/>
          <w:szCs w:val="16"/>
          <w:lang w:val="es-CR"/>
        </w:rPr>
        <w:t xml:space="preserve">Caso I.V. Vs. </w:t>
      </w:r>
      <w:r w:rsidRPr="005B4245">
        <w:rPr>
          <w:rFonts w:ascii="Verdana" w:hAnsi="Verdana"/>
          <w:i/>
          <w:iCs/>
          <w:sz w:val="16"/>
          <w:szCs w:val="16"/>
          <w:lang w:val="es-ES"/>
        </w:rPr>
        <w:t>Bolivia, supra,</w:t>
      </w:r>
      <w:r w:rsidRPr="005645E9">
        <w:rPr>
          <w:rFonts w:ascii="Verdana" w:hAnsi="Verdana"/>
          <w:sz w:val="16"/>
          <w:szCs w:val="16"/>
          <w:lang w:val="es-ES"/>
        </w:rPr>
        <w:t xml:space="preserve"> párr. 150. </w:t>
      </w:r>
    </w:p>
  </w:footnote>
  <w:footnote w:id="14">
    <w:p w14:paraId="3D340ABF" w14:textId="2AC44994" w:rsidR="008728FE" w:rsidRPr="005645E9" w:rsidRDefault="008728FE"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lang w:val="es-ES"/>
        </w:rPr>
        <w:t xml:space="preserve"> </w:t>
      </w:r>
      <w:r w:rsidRPr="005645E9">
        <w:rPr>
          <w:rFonts w:ascii="Verdana" w:hAnsi="Verdana"/>
          <w:sz w:val="16"/>
          <w:szCs w:val="16"/>
          <w:lang w:val="es-ES"/>
        </w:rPr>
        <w:tab/>
      </w:r>
      <w:r w:rsidRPr="005B4245">
        <w:rPr>
          <w:rFonts w:ascii="Verdana" w:hAnsi="Verdana"/>
          <w:i/>
          <w:iCs/>
          <w:sz w:val="16"/>
          <w:szCs w:val="16"/>
          <w:lang w:val="es-ES"/>
        </w:rPr>
        <w:t>Cfr. Caso I.V. Vs. Bolivia, supra,</w:t>
      </w:r>
      <w:r w:rsidRPr="005645E9">
        <w:rPr>
          <w:rFonts w:ascii="Verdana" w:hAnsi="Verdana"/>
          <w:sz w:val="16"/>
          <w:szCs w:val="16"/>
          <w:lang w:val="es-ES"/>
        </w:rPr>
        <w:t xml:space="preserve"> párr. 15</w:t>
      </w:r>
      <w:r w:rsidR="00572609" w:rsidRPr="005645E9">
        <w:rPr>
          <w:rFonts w:ascii="Verdana" w:hAnsi="Verdana"/>
          <w:sz w:val="16"/>
          <w:szCs w:val="16"/>
          <w:lang w:val="es-ES"/>
        </w:rPr>
        <w:t xml:space="preserve">4. </w:t>
      </w:r>
    </w:p>
  </w:footnote>
  <w:footnote w:id="15">
    <w:p w14:paraId="65980F8C" w14:textId="75AB9F64" w:rsidR="002047E4" w:rsidRPr="005645E9" w:rsidRDefault="002047E4" w:rsidP="003E444A">
      <w:pPr>
        <w:pStyle w:val="Textonotapie"/>
        <w:jc w:val="both"/>
        <w:rPr>
          <w:rFonts w:ascii="Verdana" w:hAnsi="Verdana"/>
          <w:sz w:val="16"/>
          <w:szCs w:val="16"/>
          <w:lang w:val="es-CR"/>
        </w:rPr>
      </w:pPr>
      <w:r w:rsidRPr="005645E9">
        <w:rPr>
          <w:rStyle w:val="Refdenotaalpie"/>
          <w:rFonts w:ascii="Verdana" w:hAnsi="Verdana"/>
          <w:sz w:val="16"/>
          <w:szCs w:val="16"/>
        </w:rPr>
        <w:footnoteRef/>
      </w:r>
      <w:r w:rsidRPr="005645E9">
        <w:rPr>
          <w:rFonts w:ascii="Verdana" w:hAnsi="Verdana"/>
          <w:sz w:val="16"/>
          <w:szCs w:val="16"/>
          <w:lang w:val="es-ES"/>
        </w:rPr>
        <w:t xml:space="preserve"> </w:t>
      </w:r>
      <w:r w:rsidRPr="005645E9">
        <w:rPr>
          <w:rFonts w:ascii="Verdana" w:hAnsi="Verdana"/>
          <w:sz w:val="16"/>
          <w:szCs w:val="16"/>
          <w:lang w:val="es-ES"/>
        </w:rPr>
        <w:tab/>
      </w:r>
      <w:r w:rsidRPr="005B4245">
        <w:rPr>
          <w:rFonts w:ascii="Verdana" w:hAnsi="Verdana"/>
          <w:i/>
          <w:iCs/>
          <w:sz w:val="16"/>
          <w:szCs w:val="16"/>
          <w:lang w:val="es-ES"/>
        </w:rPr>
        <w:t>Cfr. Caso I.V. Vs. Bolivia, supra,</w:t>
      </w:r>
      <w:r w:rsidRPr="005645E9">
        <w:rPr>
          <w:rFonts w:ascii="Verdana" w:hAnsi="Verdana"/>
          <w:sz w:val="16"/>
          <w:szCs w:val="16"/>
          <w:lang w:val="es-ES"/>
        </w:rPr>
        <w:t xml:space="preserve"> párr. </w:t>
      </w:r>
      <w:r w:rsidRPr="005645E9">
        <w:rPr>
          <w:rFonts w:ascii="Verdana" w:hAnsi="Verdana"/>
          <w:sz w:val="16"/>
          <w:szCs w:val="16"/>
          <w:lang w:val="es-CR"/>
        </w:rPr>
        <w:t xml:space="preserve">156. </w:t>
      </w:r>
    </w:p>
  </w:footnote>
  <w:footnote w:id="16">
    <w:p w14:paraId="7EB9CAFF" w14:textId="7D1B6DB6" w:rsidR="00DE5A59" w:rsidRPr="005645E9" w:rsidRDefault="00DE5A59"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627E5F" w:rsidRPr="005645E9">
        <w:rPr>
          <w:rFonts w:ascii="Verdana" w:hAnsi="Verdana"/>
          <w:sz w:val="16"/>
          <w:szCs w:val="16"/>
        </w:rPr>
        <w:tab/>
      </w:r>
      <w:r w:rsidR="00627E5F" w:rsidRPr="005B4245">
        <w:rPr>
          <w:rFonts w:ascii="Verdana" w:hAnsi="Verdana"/>
          <w:i/>
          <w:iCs/>
          <w:sz w:val="16"/>
          <w:szCs w:val="16"/>
          <w:lang w:val="es-ES"/>
        </w:rPr>
        <w:t>Cfr. Caso I.V. Vs. Bolivia, supra,</w:t>
      </w:r>
      <w:r w:rsidR="00627E5F" w:rsidRPr="005645E9">
        <w:rPr>
          <w:rFonts w:ascii="Verdana" w:hAnsi="Verdana"/>
          <w:sz w:val="16"/>
          <w:szCs w:val="16"/>
          <w:lang w:val="es-ES"/>
        </w:rPr>
        <w:t xml:space="preserve"> </w:t>
      </w:r>
      <w:r w:rsidRPr="005645E9">
        <w:rPr>
          <w:rFonts w:ascii="Verdana" w:hAnsi="Verdana"/>
          <w:sz w:val="16"/>
          <w:szCs w:val="16"/>
          <w:lang w:val="es-ES"/>
        </w:rPr>
        <w:t xml:space="preserve">Párr. 143. </w:t>
      </w:r>
    </w:p>
  </w:footnote>
  <w:footnote w:id="17">
    <w:p w14:paraId="38AD93BF" w14:textId="0BB70D85" w:rsidR="00DE5A59" w:rsidRPr="005645E9" w:rsidRDefault="00DE5A59"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627E5F" w:rsidRPr="005645E9">
        <w:rPr>
          <w:rFonts w:ascii="Verdana" w:hAnsi="Verdana"/>
          <w:sz w:val="16"/>
          <w:szCs w:val="16"/>
        </w:rPr>
        <w:tab/>
      </w:r>
      <w:r w:rsidR="00627E5F" w:rsidRPr="005B4245">
        <w:rPr>
          <w:rFonts w:ascii="Verdana" w:hAnsi="Verdana"/>
          <w:i/>
          <w:iCs/>
          <w:sz w:val="16"/>
          <w:szCs w:val="16"/>
          <w:lang w:val="es-ES"/>
        </w:rPr>
        <w:t>Cfr. Caso I.V. Vs. Bolivia, supra,</w:t>
      </w:r>
      <w:r w:rsidR="00627E5F" w:rsidRPr="005645E9">
        <w:rPr>
          <w:rFonts w:ascii="Verdana" w:hAnsi="Verdana"/>
          <w:sz w:val="16"/>
          <w:szCs w:val="16"/>
          <w:lang w:val="es-ES"/>
        </w:rPr>
        <w:t xml:space="preserve"> </w:t>
      </w:r>
      <w:r w:rsidRPr="005645E9">
        <w:rPr>
          <w:rFonts w:ascii="Verdana" w:hAnsi="Verdana"/>
          <w:sz w:val="16"/>
          <w:szCs w:val="16"/>
          <w:lang w:val="es-ES"/>
        </w:rPr>
        <w:t>Párr. 143.</w:t>
      </w:r>
    </w:p>
  </w:footnote>
  <w:footnote w:id="18">
    <w:p w14:paraId="5049257F" w14:textId="59D72257" w:rsidR="00362178" w:rsidRPr="005645E9" w:rsidRDefault="00362178"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r>
      <w:r w:rsidRPr="005B4245">
        <w:rPr>
          <w:rFonts w:ascii="Verdana" w:hAnsi="Verdana"/>
          <w:i/>
          <w:iCs/>
          <w:sz w:val="16"/>
          <w:szCs w:val="16"/>
          <w:lang w:val="es-CR"/>
        </w:rPr>
        <w:t>Cfr. Caso I.V. Vs. Bolivia, supra,</w:t>
      </w:r>
      <w:r w:rsidRPr="005645E9">
        <w:rPr>
          <w:rFonts w:ascii="Verdana" w:hAnsi="Verdana"/>
          <w:sz w:val="16"/>
          <w:szCs w:val="16"/>
          <w:lang w:val="es-CR"/>
        </w:rPr>
        <w:t xml:space="preserve"> párr. 157. </w:t>
      </w:r>
    </w:p>
  </w:footnote>
  <w:footnote w:id="19">
    <w:p w14:paraId="48A1803F" w14:textId="582435BD" w:rsidR="002D3D4C" w:rsidRPr="005645E9" w:rsidRDefault="002D3D4C"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B4245">
        <w:rPr>
          <w:rFonts w:ascii="Verdana" w:hAnsi="Verdana"/>
          <w:i/>
          <w:iCs/>
          <w:sz w:val="16"/>
          <w:szCs w:val="16"/>
          <w:lang w:val="es-CR"/>
        </w:rPr>
        <w:t>Cfr. Caso I.V. Vs. Bolivia, supra,</w:t>
      </w:r>
      <w:r w:rsidRPr="005645E9">
        <w:rPr>
          <w:rFonts w:ascii="Verdana" w:hAnsi="Verdana"/>
          <w:sz w:val="16"/>
          <w:szCs w:val="16"/>
          <w:lang w:val="es-CR"/>
        </w:rPr>
        <w:t xml:space="preserve"> párr. 255. </w:t>
      </w:r>
    </w:p>
  </w:footnote>
  <w:footnote w:id="20">
    <w:p w14:paraId="3BFA7586" w14:textId="680F0E59" w:rsidR="009E1178" w:rsidRPr="005645E9" w:rsidRDefault="009E1178"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4A6B2A" w:rsidRPr="005645E9">
        <w:rPr>
          <w:rFonts w:ascii="Verdana" w:hAnsi="Verdana"/>
          <w:sz w:val="16"/>
          <w:szCs w:val="16"/>
          <w:lang w:val="es-ES"/>
        </w:rPr>
        <w:tab/>
      </w:r>
      <w:r w:rsidR="004A6B2A" w:rsidRPr="005B4245">
        <w:rPr>
          <w:rFonts w:ascii="Verdana" w:hAnsi="Verdana"/>
          <w:i/>
          <w:iCs/>
          <w:sz w:val="16"/>
          <w:szCs w:val="16"/>
          <w:lang w:val="es-ES"/>
        </w:rPr>
        <w:t xml:space="preserve">Cfr. </w:t>
      </w:r>
      <w:r w:rsidR="004A6B2A" w:rsidRPr="005B4245">
        <w:rPr>
          <w:rFonts w:ascii="Verdana" w:hAnsi="Verdana"/>
          <w:i/>
          <w:iCs/>
          <w:sz w:val="16"/>
          <w:szCs w:val="16"/>
          <w:lang w:val="es-CR"/>
        </w:rPr>
        <w:t>Caso Manuela y otros Vs. El Salvador, supra,</w:t>
      </w:r>
      <w:r w:rsidR="004A6B2A" w:rsidRPr="005645E9">
        <w:rPr>
          <w:rFonts w:ascii="Verdana" w:hAnsi="Verdana"/>
          <w:sz w:val="16"/>
          <w:szCs w:val="16"/>
          <w:lang w:val="es-CR"/>
        </w:rPr>
        <w:t xml:space="preserve"> párr. 192. </w:t>
      </w:r>
    </w:p>
  </w:footnote>
  <w:footnote w:id="21">
    <w:p w14:paraId="1FD7082D" w14:textId="5883EB59" w:rsidR="00A51837" w:rsidRPr="005645E9" w:rsidRDefault="00A51837"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00CE1ED5" w:rsidRPr="005645E9">
        <w:rPr>
          <w:rFonts w:ascii="Verdana" w:hAnsi="Verdana"/>
          <w:sz w:val="16"/>
          <w:szCs w:val="16"/>
        </w:rPr>
        <w:tab/>
      </w:r>
      <w:r w:rsidR="00CE1ED5" w:rsidRPr="005B4245">
        <w:rPr>
          <w:rFonts w:ascii="Verdana" w:hAnsi="Verdana"/>
          <w:i/>
          <w:iCs/>
          <w:sz w:val="16"/>
          <w:szCs w:val="16"/>
          <w:lang w:val="es-ES"/>
        </w:rPr>
        <w:t xml:space="preserve">Cfr. </w:t>
      </w:r>
      <w:r w:rsidR="00CE1ED5" w:rsidRPr="005B4245">
        <w:rPr>
          <w:rFonts w:ascii="Verdana" w:hAnsi="Verdana"/>
          <w:i/>
          <w:iCs/>
          <w:sz w:val="16"/>
          <w:szCs w:val="16"/>
          <w:lang w:val="es-CR"/>
        </w:rPr>
        <w:t xml:space="preserve">Caso Manuela y otros Vs. El Salvador, supra, </w:t>
      </w:r>
      <w:r w:rsidR="00CE1ED5" w:rsidRPr="005645E9">
        <w:rPr>
          <w:rFonts w:ascii="Verdana" w:hAnsi="Verdana"/>
          <w:sz w:val="16"/>
          <w:szCs w:val="16"/>
          <w:lang w:val="es-CR"/>
        </w:rPr>
        <w:t xml:space="preserve">párr. 254. </w:t>
      </w:r>
    </w:p>
  </w:footnote>
  <w:footnote w:id="22">
    <w:p w14:paraId="2A25226C" w14:textId="77777777" w:rsidR="002F3F21" w:rsidRPr="005645E9" w:rsidRDefault="002F3F21"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r>
      <w:r w:rsidRPr="005B4245">
        <w:rPr>
          <w:rFonts w:ascii="Verdana" w:hAnsi="Verdana"/>
          <w:i/>
          <w:iCs/>
          <w:sz w:val="16"/>
          <w:szCs w:val="16"/>
          <w:lang w:val="es-ES"/>
        </w:rPr>
        <w:t xml:space="preserve">Cfr. </w:t>
      </w:r>
      <w:r w:rsidRPr="005B4245">
        <w:rPr>
          <w:rFonts w:ascii="Verdana" w:hAnsi="Verdana"/>
          <w:i/>
          <w:iCs/>
          <w:sz w:val="16"/>
          <w:szCs w:val="16"/>
          <w:lang w:val="es-CR"/>
        </w:rPr>
        <w:t>Caso Manuela y otros Vs. El Salvador, supra,</w:t>
      </w:r>
      <w:r w:rsidRPr="005645E9">
        <w:rPr>
          <w:rFonts w:ascii="Verdana" w:hAnsi="Verdana"/>
          <w:sz w:val="16"/>
          <w:szCs w:val="16"/>
          <w:lang w:val="es-CR"/>
        </w:rPr>
        <w:t xml:space="preserve"> </w:t>
      </w:r>
      <w:r w:rsidRPr="005645E9">
        <w:rPr>
          <w:rFonts w:ascii="Verdana" w:hAnsi="Verdana"/>
          <w:sz w:val="16"/>
          <w:szCs w:val="16"/>
        </w:rPr>
        <w:t>p</w:t>
      </w:r>
      <w:r w:rsidRPr="005645E9">
        <w:rPr>
          <w:rFonts w:ascii="Verdana" w:hAnsi="Verdana"/>
          <w:sz w:val="16"/>
          <w:szCs w:val="16"/>
          <w:lang w:val="es-ES"/>
        </w:rPr>
        <w:t xml:space="preserve">árr. 224. </w:t>
      </w:r>
    </w:p>
  </w:footnote>
  <w:footnote w:id="23">
    <w:p w14:paraId="51724387" w14:textId="764919C9" w:rsidR="00FC4D84" w:rsidRPr="005645E9" w:rsidRDefault="00FC4D84"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B4245">
        <w:rPr>
          <w:rFonts w:ascii="Verdana" w:hAnsi="Verdana"/>
          <w:i/>
          <w:iCs/>
          <w:sz w:val="16"/>
          <w:szCs w:val="16"/>
          <w:lang w:val="es-ES"/>
        </w:rPr>
        <w:t xml:space="preserve">Cfr. </w:t>
      </w:r>
      <w:r w:rsidRPr="005B4245">
        <w:rPr>
          <w:rFonts w:ascii="Verdana" w:hAnsi="Verdana"/>
          <w:i/>
          <w:iCs/>
          <w:sz w:val="16"/>
          <w:szCs w:val="16"/>
          <w:lang w:val="es-CR"/>
        </w:rPr>
        <w:t>Caso Manuela y otros Vs. El Salvador, supra,</w:t>
      </w:r>
      <w:r w:rsidRPr="005645E9">
        <w:rPr>
          <w:rFonts w:ascii="Verdana" w:hAnsi="Verdana"/>
          <w:sz w:val="16"/>
          <w:szCs w:val="16"/>
          <w:lang w:val="es-CR"/>
        </w:rPr>
        <w:t xml:space="preserve"> </w:t>
      </w:r>
      <w:r w:rsidRPr="005645E9">
        <w:rPr>
          <w:rFonts w:ascii="Verdana" w:hAnsi="Verdana"/>
          <w:sz w:val="16"/>
          <w:szCs w:val="16"/>
        </w:rPr>
        <w:t>p</w:t>
      </w:r>
      <w:r w:rsidRPr="005645E9">
        <w:rPr>
          <w:rFonts w:ascii="Verdana" w:hAnsi="Verdana"/>
          <w:sz w:val="16"/>
          <w:szCs w:val="16"/>
          <w:lang w:val="es-ES"/>
        </w:rPr>
        <w:t xml:space="preserve">árr. 202. </w:t>
      </w:r>
    </w:p>
  </w:footnote>
  <w:footnote w:id="24">
    <w:p w14:paraId="047457AD" w14:textId="32C733DC" w:rsidR="00094ECE" w:rsidRPr="005645E9" w:rsidRDefault="00094ECE"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A1159C" w:rsidRPr="005645E9">
        <w:rPr>
          <w:rFonts w:ascii="Verdana" w:hAnsi="Verdana"/>
          <w:sz w:val="16"/>
          <w:szCs w:val="16"/>
        </w:rPr>
        <w:tab/>
      </w:r>
      <w:r w:rsidR="00A1159C" w:rsidRPr="005B4245">
        <w:rPr>
          <w:rFonts w:ascii="Verdana" w:hAnsi="Verdana"/>
          <w:i/>
          <w:iCs/>
          <w:sz w:val="16"/>
          <w:szCs w:val="16"/>
          <w:lang w:val="es-ES"/>
        </w:rPr>
        <w:t xml:space="preserve">Cfr. </w:t>
      </w:r>
      <w:r w:rsidR="00A1159C" w:rsidRPr="005B4245">
        <w:rPr>
          <w:rFonts w:ascii="Verdana" w:hAnsi="Verdana"/>
          <w:i/>
          <w:iCs/>
          <w:sz w:val="16"/>
          <w:szCs w:val="16"/>
          <w:lang w:val="es-CR"/>
        </w:rPr>
        <w:t>Caso Manuela y otros Vs. El Salvador, supra,</w:t>
      </w:r>
      <w:r w:rsidR="00A1159C" w:rsidRPr="005645E9">
        <w:rPr>
          <w:rFonts w:ascii="Verdana" w:hAnsi="Verdana"/>
          <w:sz w:val="16"/>
          <w:szCs w:val="16"/>
          <w:lang w:val="es-CR"/>
        </w:rPr>
        <w:t xml:space="preserve"> párr. </w:t>
      </w:r>
      <w:r w:rsidRPr="005645E9">
        <w:rPr>
          <w:rFonts w:ascii="Verdana" w:hAnsi="Verdana"/>
          <w:sz w:val="16"/>
          <w:szCs w:val="16"/>
          <w:lang w:val="es-ES"/>
        </w:rPr>
        <w:t xml:space="preserve">193 </w:t>
      </w:r>
    </w:p>
  </w:footnote>
  <w:footnote w:id="25">
    <w:p w14:paraId="65308991" w14:textId="68B1BAA4" w:rsidR="006C5F7A" w:rsidRPr="005645E9" w:rsidRDefault="006C5F7A"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FE22E0" w:rsidRPr="005645E9">
        <w:rPr>
          <w:rFonts w:ascii="Verdana" w:hAnsi="Verdana"/>
          <w:sz w:val="16"/>
          <w:szCs w:val="16"/>
        </w:rPr>
        <w:tab/>
      </w:r>
      <w:r w:rsidR="00FE22E0" w:rsidRPr="005B4245">
        <w:rPr>
          <w:rFonts w:ascii="Verdana" w:hAnsi="Verdana"/>
          <w:i/>
          <w:iCs/>
          <w:sz w:val="16"/>
          <w:szCs w:val="16"/>
          <w:lang w:val="es-ES"/>
        </w:rPr>
        <w:t xml:space="preserve">Cfr. </w:t>
      </w:r>
      <w:r w:rsidR="00FE22E0" w:rsidRPr="005B4245">
        <w:rPr>
          <w:rFonts w:ascii="Verdana" w:hAnsi="Verdana"/>
          <w:i/>
          <w:iCs/>
          <w:sz w:val="16"/>
          <w:szCs w:val="16"/>
          <w:lang w:val="es-CR"/>
        </w:rPr>
        <w:t>Caso Manuela y otros Vs. El Salvador, supra,</w:t>
      </w:r>
      <w:r w:rsidR="00FE22E0" w:rsidRPr="005645E9">
        <w:rPr>
          <w:rFonts w:ascii="Verdana" w:hAnsi="Verdana"/>
          <w:sz w:val="16"/>
          <w:szCs w:val="16"/>
          <w:lang w:val="es-CR"/>
        </w:rPr>
        <w:t xml:space="preserve"> </w:t>
      </w:r>
      <w:r w:rsidR="00FE22E0" w:rsidRPr="005645E9">
        <w:rPr>
          <w:rFonts w:ascii="Verdana" w:hAnsi="Verdana"/>
          <w:sz w:val="16"/>
          <w:szCs w:val="16"/>
        </w:rPr>
        <w:t>p</w:t>
      </w:r>
      <w:r w:rsidRPr="005645E9">
        <w:rPr>
          <w:rFonts w:ascii="Verdana" w:hAnsi="Verdana"/>
          <w:sz w:val="16"/>
          <w:szCs w:val="16"/>
          <w:lang w:val="es-ES"/>
        </w:rPr>
        <w:t xml:space="preserve">árr. 252 </w:t>
      </w:r>
    </w:p>
  </w:footnote>
  <w:footnote w:id="26">
    <w:p w14:paraId="4DA06C6D" w14:textId="2A3882F5" w:rsidR="00FE22E0" w:rsidRPr="005645E9" w:rsidRDefault="00FE22E0"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B4245">
        <w:rPr>
          <w:rFonts w:ascii="Verdana" w:hAnsi="Verdana"/>
          <w:i/>
          <w:iCs/>
          <w:sz w:val="16"/>
          <w:szCs w:val="16"/>
          <w:lang w:val="es-ES"/>
        </w:rPr>
        <w:t xml:space="preserve">Cfr. </w:t>
      </w:r>
      <w:r w:rsidRPr="005B4245">
        <w:rPr>
          <w:rFonts w:ascii="Verdana" w:hAnsi="Verdana"/>
          <w:i/>
          <w:iCs/>
          <w:sz w:val="16"/>
          <w:szCs w:val="16"/>
          <w:lang w:val="es-CR"/>
        </w:rPr>
        <w:t>Caso Manuela y otros Vs. El Salvador, supra,</w:t>
      </w:r>
      <w:r w:rsidRPr="005645E9">
        <w:rPr>
          <w:rFonts w:ascii="Verdana" w:hAnsi="Verdana"/>
          <w:sz w:val="16"/>
          <w:szCs w:val="16"/>
          <w:lang w:val="es-CR"/>
        </w:rPr>
        <w:t xml:space="preserve"> </w:t>
      </w:r>
      <w:r w:rsidRPr="005645E9">
        <w:rPr>
          <w:rFonts w:ascii="Verdana" w:hAnsi="Verdana"/>
          <w:sz w:val="16"/>
          <w:szCs w:val="16"/>
        </w:rPr>
        <w:t>p</w:t>
      </w:r>
      <w:r w:rsidRPr="005645E9">
        <w:rPr>
          <w:rFonts w:ascii="Verdana" w:hAnsi="Verdana"/>
          <w:sz w:val="16"/>
          <w:szCs w:val="16"/>
          <w:lang w:val="es-ES"/>
        </w:rPr>
        <w:t xml:space="preserve">árr. 253. </w:t>
      </w:r>
    </w:p>
  </w:footnote>
  <w:footnote w:id="27">
    <w:p w14:paraId="2FEB78EC" w14:textId="30A09128" w:rsidR="00302ACE" w:rsidRPr="005645E9" w:rsidRDefault="00302ACE"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00E72870" w:rsidRPr="005645E9">
        <w:rPr>
          <w:rFonts w:ascii="Verdana" w:hAnsi="Verdana"/>
          <w:sz w:val="16"/>
          <w:szCs w:val="16"/>
        </w:rPr>
        <w:tab/>
      </w:r>
      <w:r w:rsidR="00E72870" w:rsidRPr="005B4245">
        <w:rPr>
          <w:rFonts w:ascii="Verdana" w:hAnsi="Verdana"/>
          <w:i/>
          <w:iCs/>
          <w:sz w:val="16"/>
          <w:szCs w:val="16"/>
          <w:lang w:val="es-ES"/>
        </w:rPr>
        <w:t xml:space="preserve">Cfr. </w:t>
      </w:r>
      <w:r w:rsidR="00E72870" w:rsidRPr="005B4245">
        <w:rPr>
          <w:rFonts w:ascii="Verdana" w:hAnsi="Verdana"/>
          <w:i/>
          <w:iCs/>
          <w:sz w:val="16"/>
          <w:szCs w:val="16"/>
          <w:lang w:val="es-CR"/>
        </w:rPr>
        <w:t>Caso Manuela y otros Vs. El Salvador, supra,</w:t>
      </w:r>
      <w:r w:rsidR="00E72870" w:rsidRPr="005645E9">
        <w:rPr>
          <w:rFonts w:ascii="Verdana" w:hAnsi="Verdana"/>
          <w:sz w:val="16"/>
          <w:szCs w:val="16"/>
          <w:lang w:val="es-CR"/>
        </w:rPr>
        <w:t xml:space="preserve"> </w:t>
      </w:r>
      <w:r w:rsidR="00E72870" w:rsidRPr="005645E9">
        <w:rPr>
          <w:rFonts w:ascii="Verdana" w:hAnsi="Verdana"/>
          <w:sz w:val="16"/>
          <w:szCs w:val="16"/>
        </w:rPr>
        <w:t>p</w:t>
      </w:r>
      <w:r w:rsidR="00E72870" w:rsidRPr="005645E9">
        <w:rPr>
          <w:rFonts w:ascii="Verdana" w:hAnsi="Verdana"/>
          <w:sz w:val="16"/>
          <w:szCs w:val="16"/>
          <w:lang w:val="es-ES"/>
        </w:rPr>
        <w:t xml:space="preserve">árr. 254. </w:t>
      </w:r>
    </w:p>
  </w:footnote>
  <w:footnote w:id="28">
    <w:p w14:paraId="4BBD4D6B" w14:textId="739F6AB9" w:rsidR="00BB481E" w:rsidRPr="005645E9" w:rsidRDefault="00BB481E"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0077604E" w:rsidRPr="005645E9">
        <w:rPr>
          <w:rFonts w:ascii="Verdana" w:hAnsi="Verdana"/>
          <w:sz w:val="16"/>
          <w:szCs w:val="16"/>
        </w:rPr>
        <w:tab/>
      </w:r>
      <w:r w:rsidR="0077604E" w:rsidRPr="005B4245">
        <w:rPr>
          <w:rFonts w:ascii="Verdana" w:hAnsi="Verdana"/>
          <w:i/>
          <w:iCs/>
          <w:sz w:val="16"/>
          <w:szCs w:val="16"/>
        </w:rPr>
        <w:t>Cfr. Caso Manuela y otros vs. El Salvador, supra,</w:t>
      </w:r>
      <w:r w:rsidR="0077604E" w:rsidRPr="005645E9">
        <w:rPr>
          <w:rFonts w:ascii="Verdana" w:hAnsi="Verdana"/>
          <w:sz w:val="16"/>
          <w:szCs w:val="16"/>
        </w:rPr>
        <w:t xml:space="preserve"> párr. </w:t>
      </w:r>
      <w:r w:rsidR="009C7DFB" w:rsidRPr="005645E9">
        <w:rPr>
          <w:rFonts w:ascii="Verdana" w:hAnsi="Verdana"/>
          <w:sz w:val="16"/>
          <w:szCs w:val="16"/>
        </w:rPr>
        <w:t xml:space="preserve">144. </w:t>
      </w:r>
    </w:p>
  </w:footnote>
  <w:footnote w:id="29">
    <w:p w14:paraId="2658438E" w14:textId="3D8CB824" w:rsidR="008F5746" w:rsidRPr="005645E9" w:rsidRDefault="008F5746"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B4245">
        <w:rPr>
          <w:rFonts w:ascii="Verdana" w:hAnsi="Verdana"/>
          <w:i/>
          <w:iCs/>
          <w:sz w:val="16"/>
          <w:szCs w:val="16"/>
        </w:rPr>
        <w:t xml:space="preserve">Cfr. </w:t>
      </w:r>
      <w:r w:rsidR="0088549C" w:rsidRPr="005B4245">
        <w:rPr>
          <w:rFonts w:ascii="Verdana" w:hAnsi="Verdana"/>
          <w:i/>
          <w:iCs/>
          <w:sz w:val="16"/>
          <w:szCs w:val="16"/>
          <w:lang w:val="es-ES"/>
        </w:rPr>
        <w:t>C</w:t>
      </w:r>
      <w:r w:rsidRPr="005B4245">
        <w:rPr>
          <w:rFonts w:ascii="Verdana" w:hAnsi="Verdana"/>
          <w:i/>
          <w:iCs/>
          <w:sz w:val="16"/>
          <w:szCs w:val="16"/>
          <w:lang w:val="es-ES"/>
        </w:rPr>
        <w:t>aso Brítez Arce y otros vs. Argentina, supra,</w:t>
      </w:r>
      <w:r w:rsidRPr="005645E9">
        <w:rPr>
          <w:rFonts w:ascii="Verdana" w:hAnsi="Verdana"/>
          <w:sz w:val="16"/>
          <w:szCs w:val="16"/>
          <w:lang w:val="es-ES"/>
        </w:rPr>
        <w:t xml:space="preserve"> párr</w:t>
      </w:r>
      <w:r w:rsidR="00EC7E27" w:rsidRPr="005645E9">
        <w:rPr>
          <w:rFonts w:ascii="Verdana" w:hAnsi="Verdana"/>
          <w:sz w:val="16"/>
          <w:szCs w:val="16"/>
          <w:lang w:val="es-ES"/>
        </w:rPr>
        <w:t>s</w:t>
      </w:r>
      <w:r w:rsidRPr="005645E9">
        <w:rPr>
          <w:rFonts w:ascii="Verdana" w:hAnsi="Verdana"/>
          <w:sz w:val="16"/>
          <w:szCs w:val="16"/>
          <w:lang w:val="es-ES"/>
        </w:rPr>
        <w:t xml:space="preserve">. </w:t>
      </w:r>
      <w:r w:rsidR="00EC7E27" w:rsidRPr="005645E9">
        <w:rPr>
          <w:rFonts w:ascii="Verdana" w:hAnsi="Verdana"/>
          <w:sz w:val="16"/>
          <w:szCs w:val="16"/>
          <w:lang w:val="es-ES"/>
        </w:rPr>
        <w:t xml:space="preserve">81 y </w:t>
      </w:r>
      <w:r w:rsidRPr="005645E9">
        <w:rPr>
          <w:rFonts w:ascii="Verdana" w:hAnsi="Verdana"/>
          <w:sz w:val="16"/>
          <w:szCs w:val="16"/>
          <w:lang w:val="es-ES"/>
        </w:rPr>
        <w:t xml:space="preserve">85. </w:t>
      </w:r>
    </w:p>
  </w:footnote>
  <w:footnote w:id="30">
    <w:p w14:paraId="1C40ED5D" w14:textId="27784E9A" w:rsidR="00B06497" w:rsidRPr="005645E9" w:rsidRDefault="00B06497"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B4245">
        <w:rPr>
          <w:rFonts w:ascii="Verdana" w:hAnsi="Verdana"/>
          <w:i/>
          <w:iCs/>
          <w:sz w:val="16"/>
          <w:szCs w:val="16"/>
        </w:rPr>
        <w:t xml:space="preserve">Cfr. </w:t>
      </w:r>
      <w:r w:rsidR="0088549C" w:rsidRPr="005B4245">
        <w:rPr>
          <w:rFonts w:ascii="Verdana" w:hAnsi="Verdana"/>
          <w:i/>
          <w:iCs/>
          <w:sz w:val="16"/>
          <w:szCs w:val="16"/>
          <w:lang w:val="es-ES"/>
        </w:rPr>
        <w:t>C</w:t>
      </w:r>
      <w:r w:rsidRPr="005B4245">
        <w:rPr>
          <w:rFonts w:ascii="Verdana" w:hAnsi="Verdana"/>
          <w:i/>
          <w:iCs/>
          <w:sz w:val="16"/>
          <w:szCs w:val="16"/>
          <w:lang w:val="es-ES"/>
        </w:rPr>
        <w:t xml:space="preserve">aso Brítez Arce y otros vs. Argentina, supra, </w:t>
      </w:r>
      <w:r w:rsidRPr="005645E9">
        <w:rPr>
          <w:rFonts w:ascii="Verdana" w:hAnsi="Verdana"/>
          <w:sz w:val="16"/>
          <w:szCs w:val="16"/>
          <w:lang w:val="es-ES"/>
        </w:rPr>
        <w:t xml:space="preserve">párr. 81. </w:t>
      </w:r>
    </w:p>
  </w:footnote>
  <w:footnote w:id="31">
    <w:p w14:paraId="2750DAE6" w14:textId="4BA27C83" w:rsidR="0077456D" w:rsidRPr="005645E9" w:rsidRDefault="0077456D"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3702FE" w:rsidRPr="005645E9">
        <w:rPr>
          <w:rFonts w:ascii="Verdana" w:hAnsi="Verdana"/>
          <w:sz w:val="16"/>
          <w:szCs w:val="16"/>
        </w:rPr>
        <w:tab/>
      </w:r>
      <w:r w:rsidR="003702FE" w:rsidRPr="005B4245">
        <w:rPr>
          <w:rFonts w:ascii="Verdana" w:hAnsi="Verdana"/>
          <w:i/>
          <w:iCs/>
          <w:sz w:val="16"/>
          <w:szCs w:val="16"/>
        </w:rPr>
        <w:t xml:space="preserve">Cfr. </w:t>
      </w:r>
      <w:r w:rsidR="0088549C" w:rsidRPr="005B4245">
        <w:rPr>
          <w:rFonts w:ascii="Verdana" w:hAnsi="Verdana"/>
          <w:i/>
          <w:iCs/>
          <w:sz w:val="16"/>
          <w:szCs w:val="16"/>
          <w:lang w:val="es-ES"/>
        </w:rPr>
        <w:t>C</w:t>
      </w:r>
      <w:r w:rsidR="003702FE" w:rsidRPr="005B4245">
        <w:rPr>
          <w:rFonts w:ascii="Verdana" w:hAnsi="Verdana"/>
          <w:i/>
          <w:iCs/>
          <w:sz w:val="16"/>
          <w:szCs w:val="16"/>
          <w:lang w:val="es-ES"/>
        </w:rPr>
        <w:t>aso Brítez Arce y otros vs. Argentina, supra,</w:t>
      </w:r>
      <w:r w:rsidR="003702FE" w:rsidRPr="005645E9">
        <w:rPr>
          <w:rFonts w:ascii="Verdana" w:hAnsi="Verdana"/>
          <w:sz w:val="16"/>
          <w:szCs w:val="16"/>
          <w:lang w:val="es-ES"/>
        </w:rPr>
        <w:t xml:space="preserve"> p</w:t>
      </w:r>
      <w:r w:rsidRPr="005645E9">
        <w:rPr>
          <w:rFonts w:ascii="Verdana" w:hAnsi="Verdana"/>
          <w:sz w:val="16"/>
          <w:szCs w:val="16"/>
          <w:lang w:val="es-ES"/>
        </w:rPr>
        <w:t>árr. 6</w:t>
      </w:r>
      <w:r w:rsidR="00687556" w:rsidRPr="005645E9">
        <w:rPr>
          <w:rFonts w:ascii="Verdana" w:hAnsi="Verdana"/>
          <w:sz w:val="16"/>
          <w:szCs w:val="16"/>
          <w:lang w:val="es-ES"/>
        </w:rPr>
        <w:t>8</w:t>
      </w:r>
      <w:r w:rsidR="003702FE" w:rsidRPr="005645E9">
        <w:rPr>
          <w:rFonts w:ascii="Verdana" w:hAnsi="Verdana"/>
          <w:sz w:val="16"/>
          <w:szCs w:val="16"/>
          <w:lang w:val="es-ES"/>
        </w:rPr>
        <w:t xml:space="preserve">. Esta </w:t>
      </w:r>
      <w:r w:rsidR="003702FE" w:rsidRPr="005645E9">
        <w:rPr>
          <w:rFonts w:ascii="Verdana" w:hAnsi="Verdana"/>
          <w:sz w:val="16"/>
          <w:szCs w:val="16"/>
        </w:rPr>
        <w:t xml:space="preserve">temática también había sido abordada por la Corte a la luz del artículo 5. Por ejemplo, en el caso </w:t>
      </w:r>
      <w:r w:rsidR="003702FE" w:rsidRPr="005645E9">
        <w:rPr>
          <w:rFonts w:ascii="Verdana" w:hAnsi="Verdana"/>
          <w:i/>
          <w:iCs/>
          <w:sz w:val="16"/>
          <w:szCs w:val="16"/>
        </w:rPr>
        <w:t>Xakmok Kásek</w:t>
      </w:r>
      <w:r w:rsidR="003702FE" w:rsidRPr="005645E9">
        <w:rPr>
          <w:rFonts w:ascii="Verdana" w:hAnsi="Verdana"/>
          <w:sz w:val="16"/>
          <w:szCs w:val="16"/>
        </w:rPr>
        <w:t xml:space="preserve"> la Corte sostuvo “</w:t>
      </w:r>
      <w:r w:rsidR="003702FE" w:rsidRPr="005645E9">
        <w:rPr>
          <w:rFonts w:ascii="Verdana" w:hAnsi="Verdana"/>
          <w:sz w:val="16"/>
          <w:szCs w:val="16"/>
          <w:lang w:val="es-ES"/>
        </w:rPr>
        <w:t xml:space="preserve">Estados deben brindar políticas de salud adecuadas que permitan ofrecer asistencia con personal entrenado adecuadamente para la atención de los nacimientos, políticas de prevención de la mortalidad materna a través de controles prenatales y </w:t>
      </w:r>
      <w:proofErr w:type="gramStart"/>
      <w:r w:rsidR="003702FE" w:rsidRPr="005645E9">
        <w:rPr>
          <w:rFonts w:ascii="Verdana" w:hAnsi="Verdana"/>
          <w:sz w:val="16"/>
          <w:szCs w:val="16"/>
          <w:lang w:val="es-ES"/>
        </w:rPr>
        <w:t>post-parto</w:t>
      </w:r>
      <w:proofErr w:type="gramEnd"/>
      <w:r w:rsidR="003702FE" w:rsidRPr="005645E9">
        <w:rPr>
          <w:rFonts w:ascii="Verdana" w:hAnsi="Verdana"/>
          <w:sz w:val="16"/>
          <w:szCs w:val="16"/>
          <w:lang w:val="es-ES"/>
        </w:rPr>
        <w:t xml:space="preserve"> adecuados, e instrumentos legales y administrativos en políticas de salud que permitan documentar adecuadamente los casos de mortalidad materna”. </w:t>
      </w:r>
      <w:r w:rsidR="003702FE" w:rsidRPr="005B4245">
        <w:rPr>
          <w:rFonts w:ascii="Verdana" w:hAnsi="Verdana"/>
          <w:i/>
          <w:iCs/>
          <w:sz w:val="16"/>
          <w:szCs w:val="16"/>
          <w:lang w:val="es-CR"/>
        </w:rPr>
        <w:t>Caso Comunidad Indígena Xákmok Kásek Vs. Paraguay. Fondo, Reparaciones y Costas.</w:t>
      </w:r>
      <w:r w:rsidR="003702FE" w:rsidRPr="005645E9">
        <w:rPr>
          <w:rFonts w:ascii="Verdana" w:hAnsi="Verdana"/>
          <w:sz w:val="16"/>
          <w:szCs w:val="16"/>
          <w:lang w:val="es-CR"/>
        </w:rPr>
        <w:t xml:space="preserve"> Sentencia de 24 de agosto de 2010. Serie C No. 214, p</w:t>
      </w:r>
      <w:r w:rsidR="003702FE" w:rsidRPr="005645E9">
        <w:rPr>
          <w:rFonts w:ascii="Verdana" w:hAnsi="Verdana"/>
          <w:sz w:val="16"/>
          <w:szCs w:val="16"/>
        </w:rPr>
        <w:t xml:space="preserve">árr. </w:t>
      </w:r>
      <w:r w:rsidR="003702FE" w:rsidRPr="005645E9">
        <w:rPr>
          <w:rFonts w:ascii="Verdana" w:hAnsi="Verdana"/>
          <w:sz w:val="16"/>
          <w:szCs w:val="16"/>
          <w:lang w:val="es-ES"/>
        </w:rPr>
        <w:t>214</w:t>
      </w:r>
    </w:p>
  </w:footnote>
  <w:footnote w:id="32">
    <w:p w14:paraId="647FC07E" w14:textId="25EC25E2" w:rsidR="00836B47" w:rsidRPr="005645E9" w:rsidRDefault="00836B47"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247C7D" w:rsidRPr="005645E9">
        <w:rPr>
          <w:rFonts w:ascii="Verdana" w:hAnsi="Verdana"/>
          <w:sz w:val="16"/>
          <w:szCs w:val="16"/>
        </w:rPr>
        <w:tab/>
      </w:r>
      <w:r w:rsidR="007736AA" w:rsidRPr="005B4245">
        <w:rPr>
          <w:rFonts w:ascii="Verdana" w:hAnsi="Verdana"/>
          <w:i/>
          <w:iCs/>
          <w:sz w:val="16"/>
          <w:szCs w:val="16"/>
        </w:rPr>
        <w:t xml:space="preserve">Cfr. </w:t>
      </w:r>
      <w:r w:rsidR="0088549C" w:rsidRPr="005B4245">
        <w:rPr>
          <w:rFonts w:ascii="Verdana" w:hAnsi="Verdana"/>
          <w:i/>
          <w:iCs/>
          <w:sz w:val="16"/>
          <w:szCs w:val="16"/>
          <w:lang w:val="es-ES"/>
        </w:rPr>
        <w:t>C</w:t>
      </w:r>
      <w:r w:rsidR="007736AA" w:rsidRPr="005B4245">
        <w:rPr>
          <w:rFonts w:ascii="Verdana" w:hAnsi="Verdana"/>
          <w:i/>
          <w:iCs/>
          <w:sz w:val="16"/>
          <w:szCs w:val="16"/>
          <w:lang w:val="es-ES"/>
        </w:rPr>
        <w:t>aso Brítez Arce y otros vs. Argentina, supra,</w:t>
      </w:r>
      <w:r w:rsidR="007736AA" w:rsidRPr="005645E9">
        <w:rPr>
          <w:rFonts w:ascii="Verdana" w:hAnsi="Verdana"/>
          <w:sz w:val="16"/>
          <w:szCs w:val="16"/>
          <w:lang w:val="es-ES"/>
        </w:rPr>
        <w:t xml:space="preserve"> </w:t>
      </w:r>
      <w:r w:rsidRPr="005645E9">
        <w:rPr>
          <w:rFonts w:ascii="Verdana" w:hAnsi="Verdana"/>
          <w:sz w:val="16"/>
          <w:szCs w:val="16"/>
          <w:lang w:val="es-ES"/>
        </w:rPr>
        <w:t xml:space="preserve">Párr. 73 </w:t>
      </w:r>
    </w:p>
  </w:footnote>
  <w:footnote w:id="33">
    <w:p w14:paraId="1FA449DC" w14:textId="6526F443" w:rsidR="00746120" w:rsidRPr="005645E9" w:rsidRDefault="00746120"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247C7D" w:rsidRPr="005645E9">
        <w:rPr>
          <w:rFonts w:ascii="Verdana" w:hAnsi="Verdana"/>
          <w:sz w:val="16"/>
          <w:szCs w:val="16"/>
        </w:rPr>
        <w:tab/>
      </w:r>
      <w:r w:rsidR="00247C7D" w:rsidRPr="005645E9">
        <w:rPr>
          <w:rFonts w:ascii="Verdana" w:hAnsi="Verdana"/>
          <w:i/>
          <w:iCs/>
          <w:sz w:val="16"/>
          <w:szCs w:val="16"/>
        </w:rPr>
        <w:t>Cfr</w:t>
      </w:r>
      <w:r w:rsidR="00247C7D" w:rsidRPr="005645E9">
        <w:rPr>
          <w:rFonts w:ascii="Verdana" w:hAnsi="Verdana"/>
          <w:sz w:val="16"/>
          <w:szCs w:val="16"/>
        </w:rPr>
        <w:t xml:space="preserve">. </w:t>
      </w:r>
      <w:r w:rsidR="00247C7D" w:rsidRPr="005B4245">
        <w:rPr>
          <w:rFonts w:ascii="Verdana" w:hAnsi="Verdana"/>
          <w:i/>
          <w:iCs/>
          <w:sz w:val="16"/>
          <w:szCs w:val="16"/>
          <w:lang w:val="es-CR"/>
        </w:rPr>
        <w:t>Caso María y otros Vs. Argentina</w:t>
      </w:r>
      <w:r w:rsidR="001F2617">
        <w:rPr>
          <w:rFonts w:ascii="Verdana" w:hAnsi="Verdana"/>
          <w:i/>
          <w:iCs/>
          <w:sz w:val="16"/>
          <w:szCs w:val="16"/>
          <w:lang w:val="es-CR"/>
        </w:rPr>
        <w:t xml:space="preserve">, </w:t>
      </w:r>
      <w:proofErr w:type="gramStart"/>
      <w:r w:rsidR="001F2617">
        <w:rPr>
          <w:rFonts w:ascii="Verdana" w:hAnsi="Verdana"/>
          <w:i/>
          <w:iCs/>
          <w:sz w:val="16"/>
          <w:szCs w:val="16"/>
          <w:lang w:val="es-CR"/>
        </w:rPr>
        <w:t>supra,</w:t>
      </w:r>
      <w:r w:rsidR="00247C7D" w:rsidRPr="005645E9">
        <w:rPr>
          <w:rFonts w:ascii="Verdana" w:hAnsi="Verdana"/>
          <w:sz w:val="16"/>
          <w:szCs w:val="16"/>
          <w:lang w:val="es-CR"/>
        </w:rPr>
        <w:t>,</w:t>
      </w:r>
      <w:proofErr w:type="gramEnd"/>
      <w:r w:rsidR="00247C7D" w:rsidRPr="005645E9">
        <w:rPr>
          <w:rFonts w:ascii="Verdana" w:hAnsi="Verdana"/>
          <w:sz w:val="16"/>
          <w:szCs w:val="16"/>
          <w:lang w:val="es-CR"/>
        </w:rPr>
        <w:t xml:space="preserve"> p</w:t>
      </w:r>
      <w:r w:rsidRPr="005645E9">
        <w:rPr>
          <w:rFonts w:ascii="Verdana" w:hAnsi="Verdana"/>
          <w:sz w:val="16"/>
          <w:szCs w:val="16"/>
          <w:lang w:val="es-ES"/>
        </w:rPr>
        <w:t>árr. 16</w:t>
      </w:r>
      <w:r w:rsidR="00247C7D" w:rsidRPr="005645E9">
        <w:rPr>
          <w:rFonts w:ascii="Verdana" w:hAnsi="Verdana"/>
          <w:sz w:val="16"/>
          <w:szCs w:val="16"/>
          <w:lang w:val="es-ES"/>
        </w:rPr>
        <w:t xml:space="preserve">1. </w:t>
      </w:r>
    </w:p>
  </w:footnote>
  <w:footnote w:id="34">
    <w:p w14:paraId="26649FAB" w14:textId="155A3754" w:rsidR="004E4BA5" w:rsidRPr="005645E9" w:rsidRDefault="004E4BA5"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r>
      <w:r w:rsidRPr="005645E9">
        <w:rPr>
          <w:rFonts w:ascii="Verdana" w:hAnsi="Verdana"/>
          <w:i/>
          <w:iCs/>
          <w:sz w:val="16"/>
          <w:szCs w:val="16"/>
          <w:lang w:val="es-ES"/>
        </w:rPr>
        <w:t>Cfr</w:t>
      </w:r>
      <w:r w:rsidRPr="005645E9">
        <w:rPr>
          <w:rFonts w:ascii="Verdana" w:hAnsi="Verdana"/>
          <w:sz w:val="16"/>
          <w:szCs w:val="16"/>
          <w:lang w:val="es-ES"/>
        </w:rPr>
        <w:t xml:space="preserve">. </w:t>
      </w:r>
      <w:r w:rsidRPr="005B4245">
        <w:rPr>
          <w:rFonts w:ascii="Verdana" w:hAnsi="Verdana"/>
          <w:i/>
          <w:iCs/>
          <w:sz w:val="16"/>
          <w:szCs w:val="16"/>
          <w:lang w:val="es-CR"/>
        </w:rPr>
        <w:t>Caso Rodríguez Pacheco y otra Vs. Venezuela</w:t>
      </w:r>
      <w:r w:rsidR="001F2617">
        <w:rPr>
          <w:rFonts w:ascii="Verdana" w:hAnsi="Verdana"/>
          <w:i/>
          <w:iCs/>
          <w:sz w:val="16"/>
          <w:szCs w:val="16"/>
          <w:lang w:val="es-CR"/>
        </w:rPr>
        <w:t xml:space="preserve">, </w:t>
      </w:r>
      <w:proofErr w:type="gramStart"/>
      <w:r w:rsidR="001F2617">
        <w:rPr>
          <w:rFonts w:ascii="Verdana" w:hAnsi="Verdana"/>
          <w:i/>
          <w:iCs/>
          <w:sz w:val="16"/>
          <w:szCs w:val="16"/>
          <w:lang w:val="es-CR"/>
        </w:rPr>
        <w:t>supra,</w:t>
      </w:r>
      <w:r w:rsidR="00EB48EE" w:rsidRPr="005645E9">
        <w:rPr>
          <w:rFonts w:ascii="Verdana" w:hAnsi="Verdana"/>
          <w:sz w:val="16"/>
          <w:szCs w:val="16"/>
          <w:lang w:val="es-CR"/>
        </w:rPr>
        <w:t>,</w:t>
      </w:r>
      <w:proofErr w:type="gramEnd"/>
      <w:r w:rsidR="00EB48EE" w:rsidRPr="005645E9">
        <w:rPr>
          <w:rFonts w:ascii="Verdana" w:hAnsi="Verdana"/>
          <w:sz w:val="16"/>
          <w:szCs w:val="16"/>
          <w:lang w:val="es-CR"/>
        </w:rPr>
        <w:t xml:space="preserve"> párr. 107. </w:t>
      </w:r>
    </w:p>
  </w:footnote>
  <w:footnote w:id="35">
    <w:p w14:paraId="68C05F1C" w14:textId="77777777" w:rsidR="00821949" w:rsidRPr="005645E9" w:rsidRDefault="00821949" w:rsidP="003E444A">
      <w:pPr>
        <w:pStyle w:val="Textonotapie"/>
        <w:jc w:val="both"/>
        <w:rPr>
          <w:rFonts w:ascii="Verdana" w:hAnsi="Verdana"/>
          <w:sz w:val="16"/>
          <w:szCs w:val="16"/>
          <w:lang w:val="es-CR"/>
        </w:rPr>
      </w:pPr>
      <w:r w:rsidRPr="005645E9">
        <w:rPr>
          <w:rStyle w:val="Refdenotaalpie"/>
          <w:rFonts w:ascii="Verdana" w:hAnsi="Verdana"/>
          <w:sz w:val="16"/>
          <w:szCs w:val="16"/>
        </w:rPr>
        <w:footnoteRef/>
      </w:r>
      <w:r w:rsidRPr="005645E9">
        <w:rPr>
          <w:rFonts w:ascii="Verdana" w:hAnsi="Verdana"/>
          <w:sz w:val="16"/>
          <w:szCs w:val="16"/>
          <w:lang w:val="es-CR"/>
        </w:rPr>
        <w:t xml:space="preserve"> </w:t>
      </w:r>
      <w:r w:rsidRPr="005645E9">
        <w:rPr>
          <w:rFonts w:ascii="Verdana" w:hAnsi="Verdana"/>
          <w:sz w:val="16"/>
          <w:szCs w:val="16"/>
          <w:lang w:val="es-CR"/>
        </w:rPr>
        <w:tab/>
      </w:r>
      <w:r w:rsidRPr="003518B2">
        <w:rPr>
          <w:rFonts w:ascii="Verdana" w:hAnsi="Verdana"/>
          <w:i/>
          <w:iCs/>
          <w:sz w:val="16"/>
          <w:szCs w:val="16"/>
          <w:lang w:val="es-CR"/>
        </w:rPr>
        <w:t>Cfr</w:t>
      </w:r>
      <w:r w:rsidRPr="005B4245">
        <w:rPr>
          <w:rFonts w:ascii="Verdana" w:hAnsi="Verdana"/>
          <w:i/>
          <w:iCs/>
          <w:sz w:val="16"/>
          <w:szCs w:val="16"/>
          <w:lang w:val="es-CR"/>
        </w:rPr>
        <w:t>. Caso I.V. Vs. Bolivia, supra,</w:t>
      </w:r>
      <w:r w:rsidRPr="005645E9">
        <w:rPr>
          <w:rFonts w:ascii="Verdana" w:hAnsi="Verdana"/>
          <w:sz w:val="16"/>
          <w:szCs w:val="16"/>
          <w:lang w:val="es-CR"/>
        </w:rPr>
        <w:t xml:space="preserve"> párr. 150. </w:t>
      </w:r>
    </w:p>
  </w:footnote>
  <w:footnote w:id="36">
    <w:p w14:paraId="63F3D8C7" w14:textId="410959F9" w:rsidR="00C867AE" w:rsidRPr="005645E9" w:rsidRDefault="00C867AE"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9F5CC0" w:rsidRPr="005645E9">
        <w:rPr>
          <w:rFonts w:ascii="Verdana" w:hAnsi="Verdana"/>
          <w:sz w:val="16"/>
          <w:szCs w:val="16"/>
        </w:rPr>
        <w:tab/>
      </w:r>
      <w:r w:rsidRPr="005645E9">
        <w:rPr>
          <w:rFonts w:ascii="Verdana" w:hAnsi="Verdana"/>
          <w:sz w:val="16"/>
          <w:szCs w:val="16"/>
          <w:lang w:val="es-ES"/>
        </w:rPr>
        <w:t>Escrito de Beatriz ante la Sala Constitucional</w:t>
      </w:r>
      <w:r w:rsidR="00A40681" w:rsidRPr="005645E9">
        <w:rPr>
          <w:rFonts w:ascii="Verdana" w:hAnsi="Verdana"/>
          <w:sz w:val="16"/>
          <w:szCs w:val="16"/>
          <w:lang w:val="es-ES"/>
        </w:rPr>
        <w:t xml:space="preserve"> (expediente de prueba, </w:t>
      </w:r>
      <w:r w:rsidR="003518B2">
        <w:rPr>
          <w:rFonts w:ascii="Verdana" w:hAnsi="Verdana"/>
          <w:sz w:val="16"/>
          <w:szCs w:val="16"/>
          <w:lang w:val="es-ES"/>
        </w:rPr>
        <w:t>folio</w:t>
      </w:r>
      <w:r w:rsidR="00A40681" w:rsidRPr="005645E9">
        <w:rPr>
          <w:rFonts w:ascii="Verdana" w:hAnsi="Verdana"/>
          <w:sz w:val="16"/>
          <w:szCs w:val="16"/>
          <w:lang w:val="es-ES"/>
        </w:rPr>
        <w:t xml:space="preserve"> 160).</w:t>
      </w:r>
    </w:p>
  </w:footnote>
  <w:footnote w:id="37">
    <w:p w14:paraId="5BE53D03" w14:textId="77777777" w:rsidR="007E5508" w:rsidRPr="005645E9" w:rsidRDefault="007E5508"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t>Por medio del Oficio No. 261 de 10 de abril de 2013, la Procuradora Auxiliar de San Salvador infirmó que se había encomendado a una Trabajadora Social de la institución para que realizara la investigación social del caso y que ésta concluyó que “de las entrevistas realizadas a la joven [Beatriz] y al presunto padre del bebé en gestación […] manifiestan ambos estar conscientes y de acuerdo con el procedimiento médico que debe practicarse, es decir la interrupción del embarazo” (Procuraduría General de la República. Procuraduría auxiliar de San Salvador. Oficio No. 261 de 10 de abril de 2013, expediente de prueba, folios 44 a 46).</w:t>
      </w:r>
    </w:p>
  </w:footnote>
  <w:footnote w:id="38">
    <w:p w14:paraId="5AA619F5" w14:textId="69AF6459" w:rsidR="009E082D" w:rsidRPr="005645E9" w:rsidRDefault="009E082D">
      <w:pPr>
        <w:pStyle w:val="Textonotapie"/>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r>
      <w:r w:rsidRPr="005645E9">
        <w:rPr>
          <w:rFonts w:ascii="Verdana" w:hAnsi="Verdana"/>
          <w:i/>
          <w:iCs/>
          <w:sz w:val="16"/>
          <w:szCs w:val="16"/>
          <w:lang w:val="es-ES"/>
        </w:rPr>
        <w:t>Cfr</w:t>
      </w:r>
      <w:r w:rsidRPr="005645E9">
        <w:rPr>
          <w:rFonts w:ascii="Verdana" w:hAnsi="Verdana"/>
          <w:sz w:val="16"/>
          <w:szCs w:val="16"/>
          <w:lang w:val="es-ES"/>
        </w:rPr>
        <w:t xml:space="preserve">. Escrito de contestación del Estado (expediente de fondo, folio 541). </w:t>
      </w:r>
    </w:p>
  </w:footnote>
  <w:footnote w:id="39">
    <w:p w14:paraId="7E865911" w14:textId="740A5A1B" w:rsidR="00D10AB0" w:rsidRPr="005645E9" w:rsidRDefault="00D10AB0" w:rsidP="003E444A">
      <w:pPr>
        <w:pStyle w:val="Textonotapie"/>
        <w:jc w:val="both"/>
        <w:rPr>
          <w:rFonts w:ascii="Verdana" w:hAnsi="Verdana"/>
          <w:sz w:val="16"/>
          <w:szCs w:val="16"/>
          <w:lang w:val="es-CR"/>
        </w:rPr>
      </w:pPr>
      <w:r w:rsidRPr="005645E9">
        <w:rPr>
          <w:rStyle w:val="Refdenotaalpie"/>
          <w:rFonts w:ascii="Verdana" w:hAnsi="Verdana"/>
          <w:sz w:val="16"/>
          <w:szCs w:val="16"/>
        </w:rPr>
        <w:footnoteRef/>
      </w:r>
      <w:r w:rsidRPr="005645E9">
        <w:rPr>
          <w:rFonts w:ascii="Verdana" w:hAnsi="Verdana"/>
          <w:sz w:val="16"/>
          <w:szCs w:val="16"/>
          <w:lang w:val="es-CR"/>
        </w:rPr>
        <w:t xml:space="preserve"> </w:t>
      </w:r>
      <w:r w:rsidRPr="005645E9">
        <w:rPr>
          <w:rFonts w:ascii="Verdana" w:hAnsi="Verdana"/>
          <w:sz w:val="16"/>
          <w:szCs w:val="16"/>
          <w:lang w:val="es-CR"/>
        </w:rPr>
        <w:tab/>
      </w:r>
      <w:r w:rsidRPr="005645E9">
        <w:rPr>
          <w:rFonts w:ascii="Verdana" w:hAnsi="Verdana"/>
          <w:i/>
          <w:iCs/>
          <w:sz w:val="16"/>
          <w:szCs w:val="16"/>
          <w:lang w:val="es-CR"/>
        </w:rPr>
        <w:t>Cfr</w:t>
      </w:r>
      <w:r w:rsidRPr="005645E9">
        <w:rPr>
          <w:rFonts w:ascii="Verdana" w:hAnsi="Verdana"/>
          <w:sz w:val="16"/>
          <w:szCs w:val="16"/>
          <w:lang w:val="es-CR"/>
        </w:rPr>
        <w:t xml:space="preserve">. Caso Brítez Arce vs. Argentina, supra, párr. 81. </w:t>
      </w:r>
    </w:p>
  </w:footnote>
  <w:footnote w:id="40">
    <w:p w14:paraId="61942405" w14:textId="77777777" w:rsidR="004D4CD3" w:rsidRPr="005645E9" w:rsidRDefault="004D4CD3" w:rsidP="003E444A">
      <w:pPr>
        <w:pStyle w:val="Textonotapie"/>
        <w:jc w:val="both"/>
        <w:rPr>
          <w:rFonts w:ascii="Verdana" w:hAnsi="Verdana"/>
          <w:sz w:val="16"/>
          <w:szCs w:val="16"/>
          <w:lang w:val="es-MX"/>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MX"/>
        </w:rPr>
        <w:tab/>
      </w:r>
      <w:r w:rsidRPr="005645E9">
        <w:rPr>
          <w:rFonts w:ascii="Verdana" w:hAnsi="Verdana"/>
          <w:sz w:val="16"/>
          <w:szCs w:val="16"/>
        </w:rPr>
        <w:t>Escrito de interposición de recurso de amparo presentado en representación de Beatriz ante la Sala de los Constitucional de la Corte Suprema de Justicia, 11 de abril de 2013 (expediente de prueba, folios 48 a 52).</w:t>
      </w:r>
    </w:p>
  </w:footnote>
  <w:footnote w:id="41">
    <w:p w14:paraId="42446CC5" w14:textId="77777777" w:rsidR="00AA1E3E" w:rsidRPr="005645E9" w:rsidRDefault="00AA1E3E"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t>Sentencia de la Sala de lo Constitucional de la Corte Suprema de Justicia en el marco del amparo 310-2013 de 28 de mayo de 2013 (expediente de prueba, folio 220).</w:t>
      </w:r>
    </w:p>
  </w:footnote>
  <w:footnote w:id="42">
    <w:p w14:paraId="36569AB9" w14:textId="743C716E" w:rsidR="00FB2954" w:rsidRPr="005645E9" w:rsidRDefault="00FB2954"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0091516C" w:rsidRPr="005645E9">
        <w:rPr>
          <w:rFonts w:ascii="Verdana" w:hAnsi="Verdana"/>
          <w:sz w:val="16"/>
          <w:szCs w:val="16"/>
        </w:rPr>
        <w:tab/>
        <w:t xml:space="preserve">Informe presentado por el Estado de El Salvador a la Comisión Interamericana de Derechos Humanos </w:t>
      </w:r>
      <w:proofErr w:type="gramStart"/>
      <w:r w:rsidR="0091516C" w:rsidRPr="005645E9">
        <w:rPr>
          <w:rFonts w:ascii="Verdana" w:hAnsi="Verdana"/>
          <w:sz w:val="16"/>
          <w:szCs w:val="16"/>
        </w:rPr>
        <w:t>en relación a</w:t>
      </w:r>
      <w:proofErr w:type="gramEnd"/>
      <w:r w:rsidR="0091516C" w:rsidRPr="005645E9">
        <w:rPr>
          <w:rFonts w:ascii="Verdana" w:hAnsi="Verdana"/>
          <w:sz w:val="16"/>
          <w:szCs w:val="16"/>
        </w:rPr>
        <w:t xml:space="preserve"> la petición “Beatriz”, de fecha 29 de febrero de 2016 (expediente de prueba, folio 7696).</w:t>
      </w:r>
    </w:p>
  </w:footnote>
  <w:footnote w:id="43">
    <w:p w14:paraId="0881A109" w14:textId="68228AE4" w:rsidR="00B42395" w:rsidRPr="005645E9" w:rsidRDefault="00B42395"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t>Declaración de Guillermo Ortiz en la audiencia pública del 22 de marzo de 2023</w:t>
      </w:r>
      <w:r w:rsidR="0088549C" w:rsidRPr="005645E9">
        <w:rPr>
          <w:rFonts w:ascii="Verdana" w:hAnsi="Verdana"/>
          <w:sz w:val="16"/>
          <w:szCs w:val="16"/>
          <w:lang w:val="es-ES"/>
        </w:rPr>
        <w:t xml:space="preserve">. </w:t>
      </w:r>
    </w:p>
  </w:footnote>
  <w:footnote w:id="44">
    <w:p w14:paraId="0B2A95F8" w14:textId="079DA1C4" w:rsidR="007559C4" w:rsidRPr="005645E9" w:rsidRDefault="007559C4"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006A436C" w:rsidRPr="005645E9">
        <w:rPr>
          <w:rFonts w:ascii="Verdana" w:hAnsi="Verdana"/>
          <w:sz w:val="16"/>
          <w:szCs w:val="16"/>
        </w:rPr>
        <w:tab/>
      </w:r>
      <w:r w:rsidR="00CD1CCE" w:rsidRPr="005645E9">
        <w:rPr>
          <w:rFonts w:ascii="Verdana" w:hAnsi="Verdana"/>
          <w:sz w:val="16"/>
          <w:szCs w:val="16"/>
        </w:rPr>
        <w:t xml:space="preserve"> “</w:t>
      </w:r>
      <w:r w:rsidR="00756BE7" w:rsidRPr="005645E9">
        <w:rPr>
          <w:rFonts w:ascii="Verdana" w:hAnsi="Verdana"/>
          <w:sz w:val="16"/>
          <w:szCs w:val="16"/>
        </w:rPr>
        <w:t>E</w:t>
      </w:r>
      <w:r w:rsidR="00CD1CCE" w:rsidRPr="005645E9">
        <w:rPr>
          <w:rFonts w:ascii="Verdana" w:hAnsi="Verdana"/>
          <w:sz w:val="16"/>
          <w:szCs w:val="16"/>
        </w:rPr>
        <w:t xml:space="preserve">n la elaboración del peritaje participaron, personas que carecían de neutralidad; no se contó con la participación de un especialista en perinatología, lo cual era necesario a juicio de al menos dos de las peritas que participaron en la realización del examen; el examen realizado fue superficial e incluso una de las personas que participó en el examen fue obligada a firmar el informe, a pesar de no estar de acuerdo con sus conclusiones”. </w:t>
      </w:r>
      <w:r w:rsidR="00756BE7" w:rsidRPr="005645E9">
        <w:rPr>
          <w:rFonts w:ascii="Verdana" w:hAnsi="Verdana"/>
          <w:sz w:val="16"/>
          <w:szCs w:val="16"/>
        </w:rPr>
        <w:t>Escrito de solicitudes argumentos y pruebas (expediente de fondo</w:t>
      </w:r>
      <w:r w:rsidR="0088549C" w:rsidRPr="005645E9">
        <w:rPr>
          <w:rFonts w:ascii="Verdana" w:hAnsi="Verdana"/>
          <w:sz w:val="16"/>
          <w:szCs w:val="16"/>
        </w:rPr>
        <w:t>, folio</w:t>
      </w:r>
      <w:r w:rsidR="00756BE7" w:rsidRPr="005645E9">
        <w:rPr>
          <w:rFonts w:ascii="Verdana" w:hAnsi="Verdana"/>
          <w:sz w:val="16"/>
          <w:szCs w:val="16"/>
        </w:rPr>
        <w:t xml:space="preserve"> 338).</w:t>
      </w:r>
    </w:p>
  </w:footnote>
  <w:footnote w:id="45">
    <w:p w14:paraId="582B725A" w14:textId="37ACF48D" w:rsidR="00C85391" w:rsidRPr="005645E9" w:rsidRDefault="00C85391"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AA301B" w:rsidRPr="005645E9">
        <w:rPr>
          <w:rFonts w:ascii="Verdana" w:hAnsi="Verdana"/>
          <w:sz w:val="16"/>
          <w:szCs w:val="16"/>
        </w:rPr>
        <w:tab/>
      </w:r>
      <w:r w:rsidR="00AA301B" w:rsidRPr="005645E9">
        <w:rPr>
          <w:rFonts w:ascii="Verdana" w:hAnsi="Verdana"/>
          <w:i/>
          <w:iCs/>
          <w:sz w:val="16"/>
          <w:szCs w:val="16"/>
        </w:rPr>
        <w:t>Cfr</w:t>
      </w:r>
      <w:r w:rsidR="00AA301B" w:rsidRPr="005645E9">
        <w:rPr>
          <w:rFonts w:ascii="Verdana" w:hAnsi="Verdana"/>
          <w:sz w:val="16"/>
          <w:szCs w:val="16"/>
        </w:rPr>
        <w:t xml:space="preserve">. </w:t>
      </w:r>
      <w:r w:rsidR="00AA301B" w:rsidRPr="005B4245">
        <w:rPr>
          <w:rFonts w:ascii="Verdana" w:hAnsi="Verdana"/>
          <w:i/>
          <w:iCs/>
          <w:sz w:val="16"/>
          <w:szCs w:val="16"/>
        </w:rPr>
        <w:t>Caso Brítez Arce y otros Vs. Argentina, supra,</w:t>
      </w:r>
      <w:r w:rsidR="00AA301B" w:rsidRPr="005645E9">
        <w:rPr>
          <w:rFonts w:ascii="Verdana" w:hAnsi="Verdana"/>
          <w:sz w:val="16"/>
          <w:szCs w:val="16"/>
        </w:rPr>
        <w:t xml:space="preserve"> párr. 70.</w:t>
      </w:r>
    </w:p>
  </w:footnote>
  <w:footnote w:id="46">
    <w:p w14:paraId="07A525E2" w14:textId="0522D231" w:rsidR="00610057" w:rsidRPr="005645E9" w:rsidRDefault="00610057"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645E9">
        <w:rPr>
          <w:rFonts w:ascii="Verdana" w:hAnsi="Verdana"/>
          <w:i/>
          <w:iCs/>
          <w:sz w:val="16"/>
          <w:szCs w:val="16"/>
          <w:lang w:val="es-ES"/>
        </w:rPr>
        <w:t>Cfr</w:t>
      </w:r>
      <w:r w:rsidRPr="005645E9">
        <w:rPr>
          <w:rFonts w:ascii="Verdana" w:hAnsi="Verdana"/>
          <w:sz w:val="16"/>
          <w:szCs w:val="16"/>
          <w:lang w:val="es-ES"/>
        </w:rPr>
        <w:t xml:space="preserve">. </w:t>
      </w:r>
      <w:r w:rsidRPr="005B4245">
        <w:rPr>
          <w:rFonts w:ascii="Verdana" w:hAnsi="Verdana"/>
          <w:i/>
          <w:iCs/>
          <w:sz w:val="16"/>
          <w:szCs w:val="16"/>
          <w:lang w:val="es-ES"/>
        </w:rPr>
        <w:t>Caso Digna Ochoa y familiares Vs. México</w:t>
      </w:r>
      <w:r w:rsidRPr="005645E9">
        <w:rPr>
          <w:rFonts w:ascii="Verdana" w:hAnsi="Verdana"/>
          <w:sz w:val="16"/>
          <w:szCs w:val="16"/>
          <w:lang w:val="es-ES"/>
        </w:rPr>
        <w:t xml:space="preserve">. Excepciones Preliminares, Fondo, </w:t>
      </w:r>
      <w:r w:rsidR="006A0FBB" w:rsidRPr="005645E9">
        <w:rPr>
          <w:rFonts w:ascii="Verdana" w:hAnsi="Verdana"/>
          <w:sz w:val="16"/>
          <w:szCs w:val="16"/>
          <w:lang w:val="es-ES"/>
        </w:rPr>
        <w:t>R</w:t>
      </w:r>
      <w:r w:rsidRPr="005645E9">
        <w:rPr>
          <w:rFonts w:ascii="Verdana" w:hAnsi="Verdana"/>
          <w:sz w:val="16"/>
          <w:szCs w:val="16"/>
          <w:lang w:val="es-ES"/>
        </w:rPr>
        <w:t>eparaciones y Costas. Sentencia de 25 de noviembre de 2021. Serie C No. 447, párr. 141-149.</w:t>
      </w:r>
      <w:r w:rsidRPr="005645E9">
        <w:rPr>
          <w:rFonts w:ascii="Verdana" w:hAnsi="Verdana"/>
          <w:sz w:val="16"/>
          <w:szCs w:val="16"/>
        </w:rPr>
        <w:t xml:space="preserve"> </w:t>
      </w:r>
    </w:p>
  </w:footnote>
  <w:footnote w:id="47">
    <w:p w14:paraId="1D4AF30B" w14:textId="27EA0E7A" w:rsidR="00F11E38" w:rsidRPr="005645E9" w:rsidRDefault="00F11E38"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756BE7" w:rsidRPr="005645E9">
        <w:rPr>
          <w:rFonts w:ascii="Verdana" w:hAnsi="Verdana"/>
          <w:sz w:val="16"/>
          <w:szCs w:val="16"/>
        </w:rPr>
        <w:tab/>
      </w:r>
      <w:r w:rsidRPr="005645E9">
        <w:rPr>
          <w:rFonts w:ascii="Verdana" w:hAnsi="Verdana"/>
          <w:sz w:val="16"/>
          <w:szCs w:val="16"/>
          <w:lang w:val="es-ES"/>
        </w:rPr>
        <w:t>Para no ir lejos, la jurisprudencia sobre DESCA no tiene fundamento expreso en la Convención</w:t>
      </w:r>
      <w:r w:rsidR="006A0FBB" w:rsidRPr="005645E9">
        <w:rPr>
          <w:rFonts w:ascii="Verdana" w:hAnsi="Verdana"/>
          <w:sz w:val="16"/>
          <w:szCs w:val="16"/>
          <w:lang w:val="es-ES"/>
        </w:rPr>
        <w:t xml:space="preserve"> y ha dado un alcance casi que irrestricto a los derechos de comunidades indígenas. Ver: </w:t>
      </w:r>
      <w:r w:rsidR="006A0FBB" w:rsidRPr="005B4245">
        <w:rPr>
          <w:rFonts w:ascii="Verdana" w:hAnsi="Verdana"/>
          <w:i/>
          <w:iCs/>
          <w:sz w:val="16"/>
          <w:szCs w:val="16"/>
          <w:lang w:val="es-ES"/>
        </w:rPr>
        <w:t>Caso Huilcamán Paillama y otros Vs. Chile. Fondo, Reparaciones y Costas.</w:t>
      </w:r>
      <w:r w:rsidR="006A0FBB" w:rsidRPr="005645E9">
        <w:rPr>
          <w:rFonts w:ascii="Verdana" w:hAnsi="Verdana"/>
          <w:sz w:val="16"/>
          <w:szCs w:val="16"/>
          <w:lang w:val="es-ES"/>
        </w:rPr>
        <w:t xml:space="preserve"> Sentencia de 18 de junio de 2024. Serie C No. 527, párr. 249 ss</w:t>
      </w:r>
      <w:r w:rsidRPr="005645E9">
        <w:rPr>
          <w:rFonts w:ascii="Verdana" w:hAnsi="Verdana"/>
          <w:sz w:val="16"/>
          <w:szCs w:val="16"/>
          <w:lang w:val="es-ES"/>
        </w:rPr>
        <w:t xml:space="preserve">. </w:t>
      </w:r>
      <w:r w:rsidR="006A0FBB" w:rsidRPr="005645E9">
        <w:rPr>
          <w:rFonts w:ascii="Verdana" w:hAnsi="Verdana"/>
          <w:sz w:val="16"/>
          <w:szCs w:val="16"/>
          <w:lang w:val="es-ES"/>
        </w:rPr>
        <w:t xml:space="preserve">Además, un ejemplo reciente relacionado con el concepto de proyecto de vida ver: </w:t>
      </w:r>
      <w:r w:rsidR="006A0FBB" w:rsidRPr="005B4245">
        <w:rPr>
          <w:rFonts w:ascii="Verdana" w:hAnsi="Verdana"/>
          <w:i/>
          <w:iCs/>
          <w:sz w:val="16"/>
          <w:szCs w:val="16"/>
          <w:lang w:val="es-ES"/>
        </w:rPr>
        <w:t>Caso Pérez Lucas y otros Vs. Guatemala. Fondo, Reparaciones y Costas.</w:t>
      </w:r>
      <w:r w:rsidR="006A0FBB" w:rsidRPr="005645E9">
        <w:rPr>
          <w:rFonts w:ascii="Verdana" w:hAnsi="Verdana"/>
          <w:sz w:val="16"/>
          <w:szCs w:val="16"/>
          <w:lang w:val="es-ES"/>
        </w:rPr>
        <w:t xml:space="preserve"> Sentencia de 4 de septiembre de 2024. Serie C No. 536, párrs. 178-186. </w:t>
      </w:r>
    </w:p>
  </w:footnote>
  <w:footnote w:id="48">
    <w:p w14:paraId="1D5A3835" w14:textId="020BBB30" w:rsidR="007C004A" w:rsidRPr="005645E9" w:rsidRDefault="007C004A"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6A0FBB" w:rsidRPr="005645E9">
        <w:rPr>
          <w:rFonts w:ascii="Verdana" w:hAnsi="Verdana"/>
          <w:sz w:val="16"/>
          <w:szCs w:val="16"/>
        </w:rPr>
        <w:tab/>
      </w:r>
      <w:r w:rsidR="0050433D" w:rsidRPr="005645E9">
        <w:rPr>
          <w:rFonts w:ascii="Verdana" w:hAnsi="Verdana"/>
          <w:i/>
          <w:iCs/>
          <w:sz w:val="16"/>
          <w:szCs w:val="16"/>
        </w:rPr>
        <w:t>Cfr</w:t>
      </w:r>
      <w:r w:rsidR="0050433D" w:rsidRPr="005645E9">
        <w:rPr>
          <w:rFonts w:ascii="Verdana" w:hAnsi="Verdana"/>
          <w:sz w:val="16"/>
          <w:szCs w:val="16"/>
        </w:rPr>
        <w:t xml:space="preserve">. </w:t>
      </w:r>
      <w:r w:rsidR="0050433D" w:rsidRPr="005B4245">
        <w:rPr>
          <w:rFonts w:ascii="Verdana" w:hAnsi="Verdana"/>
          <w:i/>
          <w:iCs/>
          <w:sz w:val="16"/>
          <w:szCs w:val="16"/>
        </w:rPr>
        <w:t>Artavia Murillo Vs. Costa Rica, supra,</w:t>
      </w:r>
      <w:r w:rsidR="0050433D" w:rsidRPr="005645E9">
        <w:rPr>
          <w:rFonts w:ascii="Verdana" w:hAnsi="Verdana"/>
          <w:sz w:val="16"/>
          <w:szCs w:val="16"/>
        </w:rPr>
        <w:t xml:space="preserve"> </w:t>
      </w:r>
      <w:r w:rsidR="00B94772" w:rsidRPr="005645E9">
        <w:rPr>
          <w:rFonts w:ascii="Verdana" w:hAnsi="Verdana"/>
          <w:sz w:val="16"/>
          <w:szCs w:val="16"/>
        </w:rPr>
        <w:t>párr. 256, 264 y 315.</w:t>
      </w:r>
    </w:p>
  </w:footnote>
  <w:footnote w:id="49">
    <w:p w14:paraId="005D6568" w14:textId="1ECD71BD" w:rsidR="00071CBB" w:rsidRPr="005645E9" w:rsidRDefault="00071CBB"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009F5CC0" w:rsidRPr="005645E9">
        <w:rPr>
          <w:rFonts w:ascii="Verdana" w:hAnsi="Verdana"/>
          <w:i/>
          <w:iCs/>
          <w:sz w:val="16"/>
          <w:szCs w:val="16"/>
        </w:rPr>
        <w:t>Cfr</w:t>
      </w:r>
      <w:r w:rsidR="009F5CC0" w:rsidRPr="005645E9">
        <w:rPr>
          <w:rFonts w:ascii="Verdana" w:hAnsi="Verdana"/>
          <w:sz w:val="16"/>
          <w:szCs w:val="16"/>
        </w:rPr>
        <w:t xml:space="preserve">. </w:t>
      </w:r>
      <w:r w:rsidR="009F5CC0" w:rsidRPr="005B4245">
        <w:rPr>
          <w:rFonts w:ascii="Verdana" w:hAnsi="Verdana"/>
          <w:i/>
          <w:iCs/>
          <w:sz w:val="16"/>
          <w:szCs w:val="16"/>
          <w:lang w:val="es-CR"/>
        </w:rPr>
        <w:t>Caso Artavia Murillo y otros (Fecundación in Vitro) Vs. Costa Rica, supra,</w:t>
      </w:r>
      <w:r w:rsidR="009F5CC0" w:rsidRPr="005B4245">
        <w:rPr>
          <w:rFonts w:ascii="Verdana" w:hAnsi="Verdana"/>
          <w:sz w:val="16"/>
          <w:szCs w:val="16"/>
          <w:lang w:val="es-CR"/>
        </w:rPr>
        <w:t xml:space="preserve"> párr. </w:t>
      </w:r>
      <w:r w:rsidRPr="005645E9">
        <w:rPr>
          <w:rFonts w:ascii="Verdana" w:hAnsi="Verdana"/>
          <w:sz w:val="16"/>
          <w:szCs w:val="16"/>
        </w:rPr>
        <w:t xml:space="preserve">264. </w:t>
      </w:r>
    </w:p>
  </w:footnote>
  <w:footnote w:id="50">
    <w:p w14:paraId="150102FD" w14:textId="45539573" w:rsidR="00502420" w:rsidRPr="005645E9" w:rsidRDefault="00502420"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645E9">
        <w:rPr>
          <w:rFonts w:ascii="Verdana" w:hAnsi="Verdana"/>
          <w:sz w:val="16"/>
          <w:szCs w:val="16"/>
          <w:lang w:val="es-ES"/>
        </w:rPr>
        <w:t xml:space="preserve">Lo anterior es un ejemplo de la situación identificada por el Comité de la CEDAW, órgano especializado de la Convención sobre la Eliminación de todas las formas de Discriminación contra la Mujer, que en su Recomendación General No. 24, sostuvo que “[e]l acceso de la mujer a una adecuada atención médica tropieza también con otros obstáculos, </w:t>
      </w:r>
      <w:r w:rsidRPr="005645E9">
        <w:rPr>
          <w:rFonts w:ascii="Verdana" w:hAnsi="Verdana"/>
          <w:b/>
          <w:bCs/>
          <w:sz w:val="16"/>
          <w:szCs w:val="16"/>
          <w:lang w:val="es-ES"/>
        </w:rPr>
        <w:t>como las leyes que penalizan ciertas intervenciones médicas que afectan exclusivamente a la mujer y castigan a las mujeres que se someten a dichas intervenciones</w:t>
      </w:r>
      <w:r w:rsidRPr="005645E9">
        <w:rPr>
          <w:rFonts w:ascii="Verdana" w:hAnsi="Verdana"/>
          <w:sz w:val="16"/>
          <w:szCs w:val="16"/>
          <w:lang w:val="es-ES"/>
        </w:rPr>
        <w:t>”</w:t>
      </w:r>
      <w:r w:rsidR="000258BB" w:rsidRPr="005645E9">
        <w:rPr>
          <w:rFonts w:ascii="Verdana" w:hAnsi="Verdana"/>
          <w:sz w:val="16"/>
          <w:szCs w:val="16"/>
          <w:lang w:val="es-ES"/>
        </w:rPr>
        <w:t xml:space="preserve"> (negrilla fuera del texto)</w:t>
      </w:r>
      <w:r w:rsidRPr="005645E9">
        <w:rPr>
          <w:rFonts w:ascii="Verdana" w:hAnsi="Verdana"/>
          <w:sz w:val="16"/>
          <w:szCs w:val="16"/>
          <w:lang w:val="es-ES"/>
        </w:rPr>
        <w:t xml:space="preserve">. </w:t>
      </w:r>
      <w:r w:rsidRPr="005645E9">
        <w:rPr>
          <w:rFonts w:ascii="Verdana" w:hAnsi="Verdana" w:cstheme="majorHAnsi"/>
          <w:sz w:val="16"/>
          <w:szCs w:val="16"/>
        </w:rPr>
        <w:t>Recomendación General N° 24 del Comité de la CEDAW, párr. 14.</w:t>
      </w:r>
      <w:r w:rsidRPr="005645E9">
        <w:rPr>
          <w:rFonts w:ascii="Verdana" w:hAnsi="Verdana"/>
          <w:sz w:val="16"/>
          <w:szCs w:val="16"/>
          <w:lang w:val="es-ES"/>
        </w:rPr>
        <w:t xml:space="preserve"> La Convención para la Eliminación de todas las formas de Discriminación contra la mujer (CEDAW, por sus siglas en inglés), fue ratificada por El Salvador el 19 de agosto de 1981.</w:t>
      </w:r>
    </w:p>
  </w:footnote>
  <w:footnote w:id="51">
    <w:p w14:paraId="7BF12F0C" w14:textId="2B97A5C4" w:rsidR="00927D16" w:rsidRPr="005645E9" w:rsidRDefault="00927D16" w:rsidP="003E444A">
      <w:pPr>
        <w:pStyle w:val="Textonotapie"/>
        <w:jc w:val="both"/>
        <w:rPr>
          <w:rFonts w:ascii="Verdana" w:hAnsi="Verdana"/>
          <w:sz w:val="16"/>
          <w:szCs w:val="16"/>
          <w:lang w:val="es-CR"/>
        </w:rPr>
      </w:pPr>
      <w:r w:rsidRPr="005645E9">
        <w:rPr>
          <w:rStyle w:val="Refdenotaalpie"/>
          <w:rFonts w:ascii="Verdana" w:hAnsi="Verdana"/>
          <w:sz w:val="16"/>
          <w:szCs w:val="16"/>
        </w:rPr>
        <w:footnoteRef/>
      </w:r>
      <w:r w:rsidRPr="005645E9">
        <w:rPr>
          <w:rFonts w:ascii="Verdana" w:hAnsi="Verdana"/>
          <w:sz w:val="16"/>
          <w:szCs w:val="16"/>
        </w:rPr>
        <w:t xml:space="preserve"> Art. 27.- No es responsable penalmente: 1) Quien actúa u omite en cumplimiento de un deber legal o en ejercicio legítimo de un derecho o de una actividad lícita. 2) Quien actúa u omite en defensa de su persona o de sus derechos o en defensa de otra persona o de sus derechos, siempre que concurran los requisitos siguientes: a. Agresión ilegítima. b. Necesidad razonable de la defensa empleada para impedirla o repelerla; </w:t>
      </w:r>
      <w:proofErr w:type="gramStart"/>
      <w:r w:rsidRPr="005645E9">
        <w:rPr>
          <w:rFonts w:ascii="Verdana" w:hAnsi="Verdana"/>
          <w:sz w:val="16"/>
          <w:szCs w:val="16"/>
        </w:rPr>
        <w:t>y  c.</w:t>
      </w:r>
      <w:proofErr w:type="gramEnd"/>
      <w:r w:rsidRPr="005645E9">
        <w:rPr>
          <w:rFonts w:ascii="Verdana" w:hAnsi="Verdana"/>
          <w:sz w:val="16"/>
          <w:szCs w:val="16"/>
        </w:rPr>
        <w:t xml:space="preserve"> No haber sido provocada la agresión, de modo suficiente, por quien ejerce la defensa. 3) Quien actúa u omite por necesidad de salvaguardar un bien jurídico, propio o ajeno, de un peligro real, actual o inminente, no </w:t>
      </w:r>
      <w:proofErr w:type="gramStart"/>
      <w:r w:rsidRPr="005645E9">
        <w:rPr>
          <w:rFonts w:ascii="Verdana" w:hAnsi="Verdana"/>
          <w:sz w:val="16"/>
          <w:szCs w:val="16"/>
        </w:rPr>
        <w:t>ocasionado  intencionalmente</w:t>
      </w:r>
      <w:proofErr w:type="gramEnd"/>
      <w:r w:rsidRPr="005645E9">
        <w:rPr>
          <w:rFonts w:ascii="Verdana" w:hAnsi="Verdana"/>
          <w:sz w:val="16"/>
          <w:szCs w:val="16"/>
        </w:rPr>
        <w:t>, lesionando otro bien de menor o igual valor que el salvaguardado, siempre que la conducta sea proporcional al peligro y que no se tenga el deber jurídico de afrontarlo.</w:t>
      </w:r>
    </w:p>
  </w:footnote>
  <w:footnote w:id="52">
    <w:p w14:paraId="2C6428DA" w14:textId="12067B22" w:rsidR="00C97642" w:rsidRPr="005645E9" w:rsidRDefault="00C97642">
      <w:pPr>
        <w:pStyle w:val="Textonotapie"/>
        <w:rPr>
          <w:lang w:val="es-ES"/>
        </w:rPr>
      </w:pPr>
      <w:r w:rsidRPr="005645E9">
        <w:rPr>
          <w:rStyle w:val="Refdenotaalpie"/>
        </w:rPr>
        <w:footnoteRef/>
      </w:r>
      <w:r w:rsidRPr="005645E9">
        <w:t xml:space="preserve"> </w:t>
      </w:r>
      <w:r w:rsidRPr="005645E9">
        <w:tab/>
      </w:r>
      <w:r w:rsidRPr="005645E9">
        <w:rPr>
          <w:rFonts w:ascii="Verdana" w:hAnsi="Verdana"/>
          <w:i/>
          <w:iCs/>
          <w:sz w:val="16"/>
          <w:szCs w:val="16"/>
        </w:rPr>
        <w:t>Cfr</w:t>
      </w:r>
      <w:r w:rsidRPr="005645E9">
        <w:rPr>
          <w:rFonts w:ascii="Verdana" w:hAnsi="Verdana"/>
          <w:sz w:val="16"/>
          <w:szCs w:val="16"/>
        </w:rPr>
        <w:t xml:space="preserve">. </w:t>
      </w:r>
      <w:r w:rsidRPr="005B4245">
        <w:rPr>
          <w:rFonts w:ascii="Verdana" w:hAnsi="Verdana"/>
          <w:i/>
          <w:iCs/>
          <w:sz w:val="16"/>
          <w:szCs w:val="16"/>
        </w:rPr>
        <w:t>Caso Baraona Bray Vs. Chile. Excepciones Preliminares, Fondo, Reparaciones y Costas.</w:t>
      </w:r>
      <w:r w:rsidRPr="005645E9">
        <w:rPr>
          <w:rFonts w:ascii="Verdana" w:hAnsi="Verdana"/>
          <w:sz w:val="16"/>
          <w:szCs w:val="16"/>
        </w:rPr>
        <w:t xml:space="preserve"> Sentencia de 24 de noviembre de 2022. Serie C No. 481, párr. 109. </w:t>
      </w:r>
    </w:p>
  </w:footnote>
  <w:footnote w:id="53">
    <w:p w14:paraId="0E776132" w14:textId="3A13BD56" w:rsidR="00C97642" w:rsidRPr="005645E9" w:rsidRDefault="00C97642" w:rsidP="00C97642">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645E9">
        <w:rPr>
          <w:rFonts w:ascii="Verdana" w:hAnsi="Verdana"/>
          <w:i/>
          <w:iCs/>
          <w:sz w:val="16"/>
          <w:szCs w:val="16"/>
        </w:rPr>
        <w:t>Cfr</w:t>
      </w:r>
      <w:r w:rsidRPr="005645E9">
        <w:rPr>
          <w:rFonts w:ascii="Verdana" w:hAnsi="Verdana"/>
          <w:sz w:val="16"/>
          <w:szCs w:val="16"/>
        </w:rPr>
        <w:t xml:space="preserve">. </w:t>
      </w:r>
      <w:r w:rsidRPr="005B4245">
        <w:rPr>
          <w:rFonts w:ascii="Verdana" w:hAnsi="Verdana"/>
          <w:i/>
          <w:iCs/>
          <w:sz w:val="16"/>
          <w:szCs w:val="16"/>
        </w:rPr>
        <w:t>Caso Capriles Vs. Venezuela</w:t>
      </w:r>
      <w:r w:rsidR="002346A0">
        <w:rPr>
          <w:rFonts w:ascii="Verdana" w:hAnsi="Verdana"/>
          <w:i/>
          <w:iCs/>
          <w:sz w:val="16"/>
          <w:szCs w:val="16"/>
        </w:rPr>
        <w:t xml:space="preserve">, </w:t>
      </w:r>
      <w:proofErr w:type="gramStart"/>
      <w:r w:rsidR="002346A0">
        <w:rPr>
          <w:rFonts w:ascii="Verdana" w:hAnsi="Verdana"/>
          <w:i/>
          <w:iCs/>
          <w:sz w:val="16"/>
          <w:szCs w:val="16"/>
        </w:rPr>
        <w:t>supra,</w:t>
      </w:r>
      <w:r w:rsidRPr="005645E9">
        <w:rPr>
          <w:rFonts w:ascii="Verdana" w:hAnsi="Verdana"/>
          <w:sz w:val="16"/>
          <w:szCs w:val="16"/>
        </w:rPr>
        <w:t>,</w:t>
      </w:r>
      <w:proofErr w:type="gramEnd"/>
      <w:r w:rsidRPr="005645E9">
        <w:rPr>
          <w:rFonts w:ascii="Verdana" w:hAnsi="Verdana"/>
          <w:sz w:val="16"/>
          <w:szCs w:val="16"/>
        </w:rPr>
        <w:t xml:space="preserve"> voto concurrente del Juez Humberto Sierra Porto. </w:t>
      </w:r>
    </w:p>
  </w:footnote>
  <w:footnote w:id="54">
    <w:p w14:paraId="37A0732D" w14:textId="741889F4" w:rsidR="001627D2" w:rsidRPr="005645E9" w:rsidRDefault="001627D2" w:rsidP="001627D2">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0088549C" w:rsidRPr="005645E9">
        <w:rPr>
          <w:rFonts w:ascii="Verdana" w:hAnsi="Verdana"/>
          <w:i/>
          <w:iCs/>
          <w:sz w:val="16"/>
          <w:szCs w:val="16"/>
        </w:rPr>
        <w:t>Cfr</w:t>
      </w:r>
      <w:r w:rsidR="0088549C" w:rsidRPr="005645E9">
        <w:rPr>
          <w:rFonts w:ascii="Verdana" w:hAnsi="Verdana"/>
          <w:sz w:val="16"/>
          <w:szCs w:val="16"/>
        </w:rPr>
        <w:t>.</w:t>
      </w:r>
      <w:r w:rsidRPr="005645E9">
        <w:rPr>
          <w:rFonts w:ascii="Verdana" w:hAnsi="Verdana"/>
          <w:sz w:val="16"/>
          <w:szCs w:val="16"/>
        </w:rPr>
        <w:t xml:space="preserve"> </w:t>
      </w:r>
      <w:r w:rsidRPr="005B4245">
        <w:rPr>
          <w:rFonts w:ascii="Verdana" w:hAnsi="Verdana"/>
          <w:i/>
          <w:iCs/>
          <w:sz w:val="16"/>
          <w:szCs w:val="16"/>
        </w:rPr>
        <w:t>Caso Capriles Vs. Venezuela.</w:t>
      </w:r>
      <w:r w:rsidRPr="005645E9">
        <w:rPr>
          <w:rFonts w:ascii="Verdana" w:hAnsi="Verdana"/>
          <w:sz w:val="16"/>
          <w:szCs w:val="16"/>
        </w:rPr>
        <w:t xml:space="preserve"> </w:t>
      </w:r>
      <w:r w:rsidR="002346A0">
        <w:rPr>
          <w:rFonts w:ascii="Verdana" w:hAnsi="Verdana"/>
          <w:i/>
          <w:iCs/>
          <w:sz w:val="16"/>
          <w:szCs w:val="16"/>
        </w:rPr>
        <w:t>supra</w:t>
      </w:r>
      <w:r w:rsidRPr="005645E9">
        <w:rPr>
          <w:rFonts w:ascii="Verdana" w:hAnsi="Verdana"/>
          <w:sz w:val="16"/>
          <w:szCs w:val="16"/>
        </w:rPr>
        <w:t xml:space="preserve">, voto concurrente del Juez Humberto Sierra Porto. </w:t>
      </w:r>
    </w:p>
  </w:footnote>
  <w:footnote w:id="55">
    <w:p w14:paraId="6B95A001" w14:textId="30C1A222" w:rsidR="001A7D40" w:rsidRPr="005645E9" w:rsidRDefault="001A7D40"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00E655BA" w:rsidRPr="005645E9">
        <w:rPr>
          <w:rFonts w:ascii="Verdana" w:hAnsi="Verdana"/>
          <w:sz w:val="16"/>
          <w:szCs w:val="16"/>
        </w:rPr>
        <w:t xml:space="preserve">En relación con este asunto, el Comité de Derechos </w:t>
      </w:r>
      <w:r w:rsidR="00D74FEE" w:rsidRPr="005645E9">
        <w:rPr>
          <w:rFonts w:ascii="Verdana" w:hAnsi="Verdana"/>
          <w:sz w:val="16"/>
          <w:szCs w:val="16"/>
        </w:rPr>
        <w:t xml:space="preserve">Humanos de las Naciones Unidas, en el caso </w:t>
      </w:r>
      <w:r w:rsidR="003D3A60" w:rsidRPr="005645E9">
        <w:rPr>
          <w:rFonts w:ascii="Verdana" w:hAnsi="Verdana"/>
          <w:sz w:val="16"/>
          <w:szCs w:val="16"/>
        </w:rPr>
        <w:t>K.N.L.H contra Perú</w:t>
      </w:r>
      <w:r w:rsidR="00D74FEE" w:rsidRPr="005645E9">
        <w:rPr>
          <w:rFonts w:ascii="Verdana" w:hAnsi="Verdana"/>
          <w:sz w:val="16"/>
          <w:szCs w:val="16"/>
        </w:rPr>
        <w:t xml:space="preserve">, sostuvo que </w:t>
      </w:r>
      <w:r w:rsidR="002B07A3" w:rsidRPr="005645E9">
        <w:rPr>
          <w:rFonts w:ascii="Verdana" w:hAnsi="Verdana"/>
          <w:sz w:val="16"/>
          <w:szCs w:val="16"/>
        </w:rPr>
        <w:t xml:space="preserve">la negativa de un hospital estatal de permitir el aborto terapéutico de un feto </w:t>
      </w:r>
      <w:r w:rsidR="00C76E03" w:rsidRPr="005645E9">
        <w:rPr>
          <w:rFonts w:ascii="Verdana" w:hAnsi="Verdana"/>
          <w:sz w:val="16"/>
          <w:szCs w:val="16"/>
        </w:rPr>
        <w:t>anencefálico</w:t>
      </w:r>
      <w:r w:rsidR="002B07A3" w:rsidRPr="005645E9">
        <w:rPr>
          <w:rFonts w:ascii="Verdana" w:hAnsi="Verdana"/>
          <w:sz w:val="16"/>
          <w:szCs w:val="16"/>
        </w:rPr>
        <w:t xml:space="preserve"> </w:t>
      </w:r>
      <w:r w:rsidR="009509D9" w:rsidRPr="005645E9">
        <w:rPr>
          <w:rFonts w:ascii="Verdana" w:hAnsi="Verdana"/>
          <w:sz w:val="16"/>
          <w:szCs w:val="16"/>
        </w:rPr>
        <w:t xml:space="preserve">causó a la autora </w:t>
      </w:r>
      <w:r w:rsidR="001C5405" w:rsidRPr="005645E9">
        <w:rPr>
          <w:rFonts w:ascii="Verdana" w:hAnsi="Verdana"/>
          <w:sz w:val="16"/>
          <w:szCs w:val="16"/>
        </w:rPr>
        <w:t xml:space="preserve">un profundo sufrimiento que implicó una violación del artículo 7 del Pacto de Derechos Civiles y Políticos, referido a la </w:t>
      </w:r>
      <w:r w:rsidR="00C76E03" w:rsidRPr="005645E9">
        <w:rPr>
          <w:rFonts w:ascii="Verdana" w:hAnsi="Verdana"/>
          <w:sz w:val="16"/>
          <w:szCs w:val="16"/>
        </w:rPr>
        <w:t xml:space="preserve">prohibición de tortura y tratos crueles, inhumanos y degradantes. </w:t>
      </w:r>
      <w:r w:rsidR="006C1411" w:rsidRPr="005645E9">
        <w:rPr>
          <w:rFonts w:ascii="Verdana" w:hAnsi="Verdana"/>
          <w:sz w:val="16"/>
          <w:szCs w:val="16"/>
        </w:rPr>
        <w:t xml:space="preserve">Comité de Derechos Humanos, Comunicación No. 1153/2003, </w:t>
      </w:r>
      <w:r w:rsidR="00856CA5" w:rsidRPr="005645E9">
        <w:rPr>
          <w:rFonts w:ascii="Verdana" w:hAnsi="Verdana"/>
          <w:sz w:val="16"/>
          <w:szCs w:val="16"/>
        </w:rPr>
        <w:t>CCPR/C/85/D/1153/2003, 22 de noviembre de 2005.</w:t>
      </w:r>
      <w:r w:rsidR="00791648" w:rsidRPr="005645E9">
        <w:rPr>
          <w:rFonts w:ascii="Verdana" w:hAnsi="Verdana"/>
          <w:sz w:val="16"/>
          <w:szCs w:val="16"/>
        </w:rPr>
        <w:t xml:space="preserve"> Posteriormente, en el caso Siobhán Whelan contra Irlanda, el Comité </w:t>
      </w:r>
      <w:r w:rsidR="008038DF" w:rsidRPr="005645E9">
        <w:rPr>
          <w:rFonts w:ascii="Verdana" w:hAnsi="Verdana"/>
          <w:sz w:val="16"/>
          <w:szCs w:val="16"/>
        </w:rPr>
        <w:t>consideró suficientemente probado</w:t>
      </w:r>
      <w:r w:rsidR="00F97EE4" w:rsidRPr="005645E9">
        <w:rPr>
          <w:rFonts w:ascii="Verdana" w:hAnsi="Verdana"/>
          <w:sz w:val="16"/>
          <w:szCs w:val="16"/>
        </w:rPr>
        <w:t xml:space="preserve"> “que la autora se encontraba en una situación de gran vulnerabilidad tras recibir la noticia de que su embarazo muy deseado no era viable. Tal y como se ha documentado en los informes psicológicos presentados al Comité, su situación física y mental se vio agravada por las circunstancias […] derivadas del marco legislativo vigente en Irlanda, y por el trato dispensado a la autora por algunos de los profesionales sanitarios que la atendieron en Irlanda</w:t>
      </w:r>
      <w:r w:rsidR="008A1A82" w:rsidRPr="005645E9">
        <w:rPr>
          <w:rFonts w:ascii="Verdana" w:hAnsi="Verdana"/>
          <w:sz w:val="16"/>
          <w:szCs w:val="16"/>
        </w:rPr>
        <w:t xml:space="preserve"> […]. El Comité considera que el sufrimiento de la autora se vio agravado aún más por los obstáculos con que tropezó para obtener de los profesionales sanitarios que conocía y que eran de su confianza la información que necesitaba acerca de las opciones médicas apropiadas […]</w:t>
      </w:r>
      <w:r w:rsidR="00F97EE4" w:rsidRPr="005645E9">
        <w:rPr>
          <w:rFonts w:ascii="Verdana" w:hAnsi="Verdana"/>
          <w:sz w:val="16"/>
          <w:szCs w:val="16"/>
        </w:rPr>
        <w:t>”</w:t>
      </w:r>
      <w:r w:rsidR="009E5618" w:rsidRPr="005645E9">
        <w:rPr>
          <w:rFonts w:ascii="Verdana" w:hAnsi="Verdana"/>
          <w:sz w:val="16"/>
          <w:szCs w:val="16"/>
        </w:rPr>
        <w:t>. En virtud de lo anterior, el Comité concluyó “que la autora sufrió un elevado nivel de angustia provocado por una combinación de actos y omisiones atribuibles al Estado parte, lo cual implica que se vulneró la prohibición de infligir tratos crueles, inhumanos o degradantes establecida en el artículo 7 del Pacto”.</w:t>
      </w:r>
      <w:r w:rsidR="009F2781" w:rsidRPr="005645E9">
        <w:rPr>
          <w:rFonts w:ascii="Verdana" w:hAnsi="Verdana"/>
          <w:sz w:val="16"/>
          <w:szCs w:val="16"/>
        </w:rPr>
        <w:t xml:space="preserve"> </w:t>
      </w:r>
      <w:r w:rsidR="009C7FBB" w:rsidRPr="005645E9">
        <w:rPr>
          <w:rFonts w:ascii="Verdana" w:hAnsi="Verdana"/>
          <w:sz w:val="16"/>
          <w:szCs w:val="16"/>
        </w:rPr>
        <w:t>Comité de Derechos Humanos, Comunicación No.</w:t>
      </w:r>
      <w:r w:rsidR="00E03F2B" w:rsidRPr="005645E9">
        <w:rPr>
          <w:rFonts w:ascii="Verdana" w:hAnsi="Verdana"/>
          <w:sz w:val="16"/>
          <w:szCs w:val="16"/>
        </w:rPr>
        <w:t xml:space="preserve"> 2425/2014, CCPR/C/119/D/2425/2014, 11 de julio de 2017, párrs. </w:t>
      </w:r>
      <w:r w:rsidR="005C4DC7" w:rsidRPr="005645E9">
        <w:rPr>
          <w:rFonts w:ascii="Verdana" w:hAnsi="Verdana"/>
          <w:sz w:val="16"/>
          <w:szCs w:val="16"/>
        </w:rPr>
        <w:t>7,5, 7,6 y 7,7.</w:t>
      </w:r>
    </w:p>
  </w:footnote>
  <w:footnote w:id="56">
    <w:p w14:paraId="3BA382D9" w14:textId="58595C86" w:rsidR="000810F1" w:rsidRPr="005645E9" w:rsidRDefault="000810F1"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t xml:space="preserve">Sobre este asunto, </w:t>
      </w:r>
      <w:r w:rsidR="00EE5719" w:rsidRPr="005645E9">
        <w:rPr>
          <w:rFonts w:ascii="Verdana" w:hAnsi="Verdana"/>
          <w:sz w:val="16"/>
          <w:szCs w:val="16"/>
        </w:rPr>
        <w:t xml:space="preserve">la relatoría Especial sobre la tortura y otros tratos o penas crueles, inhumanos o degradantes de Naciones Unidas </w:t>
      </w:r>
      <w:r w:rsidR="00053508" w:rsidRPr="005645E9">
        <w:rPr>
          <w:rFonts w:ascii="Verdana" w:hAnsi="Verdana"/>
          <w:sz w:val="16"/>
          <w:szCs w:val="16"/>
        </w:rPr>
        <w:t>ha sostenido</w:t>
      </w:r>
      <w:r w:rsidRPr="005645E9">
        <w:rPr>
          <w:rFonts w:ascii="Verdana" w:hAnsi="Verdana"/>
          <w:sz w:val="16"/>
          <w:szCs w:val="16"/>
        </w:rPr>
        <w:t xml:space="preserve"> que </w:t>
      </w:r>
      <w:r w:rsidR="00053508" w:rsidRPr="005645E9">
        <w:rPr>
          <w:rFonts w:ascii="Verdana" w:hAnsi="Verdana"/>
          <w:sz w:val="16"/>
          <w:szCs w:val="16"/>
        </w:rPr>
        <w:t>“[l]a existencia de leyes muy restrictivas, que prohíben los abortos incluso en casos de incesto, violación, deficiencia fetal o cuando está en riesgo la vida o la salud de la madre, vulneran el derecho de las mujeres a no ser sometidas a tortura o malos tratos. Sin embargo, algunos Estados siguen restringiendo con prohibiciones absolutas del aborto el derecho de las mujeres a abortar de manera legal y sin riesgos. Restringir el acceso a la interrupción voluntaria del embarazo provoca muertes innecesarias de mujeres</w:t>
      </w:r>
      <w:r w:rsidR="00D12DC3" w:rsidRPr="005645E9">
        <w:rPr>
          <w:rFonts w:ascii="Verdana" w:hAnsi="Verdana"/>
          <w:sz w:val="16"/>
          <w:szCs w:val="16"/>
        </w:rPr>
        <w:t>”. Informe del Relator Especial sobre la tortura y otros tratos o penas crueles, inhumanos o degradantes</w:t>
      </w:r>
      <w:r w:rsidR="00CD3BA8" w:rsidRPr="005645E9">
        <w:rPr>
          <w:rFonts w:ascii="Verdana" w:hAnsi="Verdana"/>
          <w:sz w:val="16"/>
          <w:szCs w:val="16"/>
        </w:rPr>
        <w:t>, A/HRC/31/57, 5 de enero de 2016</w:t>
      </w:r>
      <w:r w:rsidR="00F1168B" w:rsidRPr="005645E9">
        <w:rPr>
          <w:rFonts w:ascii="Verdana" w:hAnsi="Verdana"/>
          <w:sz w:val="16"/>
          <w:szCs w:val="16"/>
        </w:rPr>
        <w:t>, párr. 43</w:t>
      </w:r>
      <w:r w:rsidR="00360D70" w:rsidRPr="005645E9">
        <w:rPr>
          <w:rFonts w:ascii="Verdana" w:hAnsi="Verdana"/>
          <w:sz w:val="16"/>
          <w:szCs w:val="16"/>
        </w:rPr>
        <w:t>.</w:t>
      </w:r>
    </w:p>
  </w:footnote>
  <w:footnote w:id="57">
    <w:p w14:paraId="7FA0B94E" w14:textId="77777777" w:rsidR="001C5EC3" w:rsidRPr="005645E9" w:rsidRDefault="001C5EC3" w:rsidP="001C5EC3">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B4245">
        <w:rPr>
          <w:rFonts w:ascii="Verdana" w:hAnsi="Verdana"/>
          <w:i/>
          <w:iCs/>
          <w:sz w:val="16"/>
          <w:szCs w:val="16"/>
        </w:rPr>
        <w:t>Cfr.</w:t>
      </w:r>
      <w:r w:rsidRPr="005645E9">
        <w:rPr>
          <w:rFonts w:ascii="Verdana" w:hAnsi="Verdana"/>
          <w:sz w:val="16"/>
          <w:szCs w:val="16"/>
        </w:rPr>
        <w:t xml:space="preserve"> Comité de Derechos Humanos. Observación General No. 36 (2019) sobre el artículo 6 del Pacto Internacional de Derechos Civiles y Políticos, relativo al derecho a la vida, párr. 8</w:t>
      </w:r>
    </w:p>
  </w:footnote>
  <w:footnote w:id="58">
    <w:p w14:paraId="7FB3274C" w14:textId="1AC838EC" w:rsidR="001727CC" w:rsidRPr="005645E9" w:rsidRDefault="001727CC" w:rsidP="001727CC">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r>
      <w:r w:rsidRPr="005B4245">
        <w:rPr>
          <w:rFonts w:ascii="Verdana" w:hAnsi="Verdana"/>
          <w:i/>
          <w:iCs/>
          <w:sz w:val="16"/>
          <w:szCs w:val="16"/>
          <w:lang w:val="es-ES"/>
        </w:rPr>
        <w:t>Cfr.</w:t>
      </w:r>
      <w:r w:rsidRPr="005645E9">
        <w:rPr>
          <w:rFonts w:ascii="Verdana" w:hAnsi="Verdana"/>
          <w:sz w:val="16"/>
          <w:szCs w:val="16"/>
          <w:lang w:val="es-ES"/>
        </w:rPr>
        <w:t xml:space="preserve"> Segundo Informe de Seguimiento a </w:t>
      </w:r>
      <w:r w:rsidR="0088549C" w:rsidRPr="005645E9">
        <w:rPr>
          <w:rFonts w:ascii="Verdana" w:hAnsi="Verdana"/>
          <w:sz w:val="16"/>
          <w:szCs w:val="16"/>
          <w:lang w:val="es-ES"/>
        </w:rPr>
        <w:t>la Implementación</w:t>
      </w:r>
      <w:r w:rsidRPr="005645E9">
        <w:rPr>
          <w:rFonts w:ascii="Verdana" w:hAnsi="Verdana"/>
          <w:sz w:val="16"/>
          <w:szCs w:val="16"/>
          <w:lang w:val="es-ES"/>
        </w:rPr>
        <w:t xml:space="preserve"> de las Recomendaciones del Comité de Expertas del MESECVI Mecanismo de Seguimiento de la Convención de Belém do Pará (MESECVI), párr. 109. </w:t>
      </w:r>
    </w:p>
  </w:footnote>
  <w:footnote w:id="59">
    <w:p w14:paraId="2F90ACFA" w14:textId="3E2A1376" w:rsidR="001727CC" w:rsidRPr="005645E9" w:rsidRDefault="001727CC" w:rsidP="001727CC">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645E9">
        <w:rPr>
          <w:rFonts w:ascii="Verdana" w:hAnsi="Verdana"/>
          <w:sz w:val="16"/>
          <w:szCs w:val="16"/>
          <w:lang w:val="es-ES"/>
        </w:rPr>
        <w:t xml:space="preserve">Cfr. Segundo Informe de Seguimiento a </w:t>
      </w:r>
      <w:r w:rsidR="0088549C" w:rsidRPr="005645E9">
        <w:rPr>
          <w:rFonts w:ascii="Verdana" w:hAnsi="Verdana"/>
          <w:sz w:val="16"/>
          <w:szCs w:val="16"/>
          <w:lang w:val="es-ES"/>
        </w:rPr>
        <w:t>la Implementación</w:t>
      </w:r>
      <w:r w:rsidRPr="005645E9">
        <w:rPr>
          <w:rFonts w:ascii="Verdana" w:hAnsi="Verdana"/>
          <w:sz w:val="16"/>
          <w:szCs w:val="16"/>
          <w:lang w:val="es-ES"/>
        </w:rPr>
        <w:t xml:space="preserve"> de las Recomendaciones del Comité de Expertas del MESECVI Mecanismo de Seguimiento de la Convención de Belém do Pará (MESECVI), párr. 118.</w:t>
      </w:r>
    </w:p>
  </w:footnote>
  <w:footnote w:id="60">
    <w:p w14:paraId="296ADA01" w14:textId="0B01AF82" w:rsidR="0088549C" w:rsidRPr="005645E9" w:rsidRDefault="0088549C" w:rsidP="0088549C">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lang w:val="es-CR"/>
        </w:rPr>
        <w:t xml:space="preserve"> </w:t>
      </w:r>
      <w:r w:rsidRPr="005645E9">
        <w:rPr>
          <w:rFonts w:ascii="Verdana" w:hAnsi="Verdana"/>
          <w:sz w:val="16"/>
          <w:szCs w:val="16"/>
          <w:lang w:val="es-CR"/>
        </w:rPr>
        <w:tab/>
        <w:t xml:space="preserve">En efecto, la mayoría de los Estados que han ratificado la competencia contenciosa de la Corte despenalizaron el aborto en los casos de riesgo a la vida de la madre y/o de inviabilidad de la vida extrauterina del feto. Ver: </w:t>
      </w:r>
      <w:r w:rsidRPr="005645E9">
        <w:rPr>
          <w:rFonts w:ascii="Verdana" w:hAnsi="Verdana"/>
          <w:sz w:val="16"/>
          <w:szCs w:val="16"/>
        </w:rPr>
        <w:t xml:space="preserve">Argentina, Ley 27.610 de 2020; Barbados, Ley de Aborto de 1983; </w:t>
      </w:r>
      <w:r w:rsidRPr="005645E9">
        <w:rPr>
          <w:rFonts w:ascii="Verdana" w:hAnsi="Verdana"/>
          <w:sz w:val="16"/>
          <w:szCs w:val="16"/>
          <w:lang w:val="es-ES"/>
        </w:rPr>
        <w:t xml:space="preserve">Bolivia, Código Penal, Art. 266; Brasil, Código Penal de 1940, Art. 128; </w:t>
      </w:r>
      <w:r w:rsidRPr="005645E9">
        <w:rPr>
          <w:rFonts w:ascii="Verdana" w:hAnsi="Verdana"/>
          <w:sz w:val="16"/>
          <w:szCs w:val="16"/>
        </w:rPr>
        <w:t xml:space="preserve">Chile, Ley N.º 21.030 de 2017; </w:t>
      </w:r>
      <w:r w:rsidRPr="005645E9">
        <w:rPr>
          <w:rFonts w:ascii="Verdana" w:hAnsi="Verdana"/>
          <w:sz w:val="16"/>
          <w:szCs w:val="16"/>
          <w:lang w:val="es-CR"/>
        </w:rPr>
        <w:t>Colombia, Corte Constitucional, Sentencia C-355 de 2006;</w:t>
      </w:r>
      <w:r w:rsidRPr="005645E9">
        <w:rPr>
          <w:rFonts w:ascii="Verdana" w:hAnsi="Verdana"/>
          <w:sz w:val="16"/>
          <w:szCs w:val="16"/>
        </w:rPr>
        <w:t xml:space="preserve"> Costa Rica Código Penal, Art. 121; Guatemala, Código Penal, Art. 137; México, Suprema Corte de Justicia de la Nación, Acción de inconstitucionalidad 148/2017; Uruguay, Ley N.º 18.987 de 2012; </w:t>
      </w:r>
      <w:r w:rsidRPr="005645E9">
        <w:rPr>
          <w:rFonts w:ascii="Verdana" w:hAnsi="Verdana"/>
          <w:sz w:val="16"/>
          <w:szCs w:val="16"/>
          <w:lang w:val="es-ES"/>
        </w:rPr>
        <w:t xml:space="preserve">Paraguay, Código Penal, Art. 109; </w:t>
      </w:r>
      <w:r w:rsidRPr="005645E9">
        <w:rPr>
          <w:rFonts w:ascii="Verdana" w:hAnsi="Verdana"/>
          <w:sz w:val="16"/>
          <w:szCs w:val="16"/>
        </w:rPr>
        <w:t>Perú, Código Penal, Art. 119.</w:t>
      </w:r>
    </w:p>
  </w:footnote>
  <w:footnote w:id="61">
    <w:p w14:paraId="1C495956" w14:textId="77777777" w:rsidR="001C5EC3" w:rsidRPr="005645E9" w:rsidRDefault="001C5EC3" w:rsidP="001C5EC3">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t xml:space="preserve">El Comité CEDAW ha sostenido que, “En el artículo 1 de la Convención se define la discriminación contra la mujer. En la definición de la discriminación se incluye la violencia basada en el sexo, es decir, la violencia dirigida contra la mujer porque es mujer o que la afecta en forma desproporcionada. Se incluyen actos que infligen daño o sufrimiento de índole física, mental o sexual, las amenazas de esos actos, la coacción y otras formas de privación de la libertad. La violencia contra la mujer puede contravenir disposiciones concretas de la Convención, independientemente de que en ellas se mencione expresamente a la violencia o no”. Comité CEDAW, Observación General No. 19, 29 de enero de 1992, párr. 1. </w:t>
      </w:r>
    </w:p>
  </w:footnote>
  <w:footnote w:id="62">
    <w:p w14:paraId="6390BD4B" w14:textId="48C55D8A" w:rsidR="00340998" w:rsidRPr="005645E9" w:rsidRDefault="00340998"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0088549C" w:rsidRPr="005645E9">
        <w:rPr>
          <w:rFonts w:ascii="Verdana" w:hAnsi="Verdana" w:cstheme="majorHAnsi"/>
          <w:sz w:val="16"/>
          <w:szCs w:val="16"/>
        </w:rPr>
        <w:t xml:space="preserve">Comité de la CEDAW, </w:t>
      </w:r>
      <w:r w:rsidRPr="005645E9">
        <w:rPr>
          <w:rFonts w:ascii="Verdana" w:hAnsi="Verdana" w:cstheme="majorHAnsi"/>
          <w:sz w:val="16"/>
          <w:szCs w:val="16"/>
        </w:rPr>
        <w:t>Recomendación General N° 24,</w:t>
      </w:r>
      <w:r w:rsidR="0088549C" w:rsidRPr="005645E9">
        <w:rPr>
          <w:rFonts w:ascii="Verdana" w:hAnsi="Verdana" w:cstheme="majorHAnsi"/>
          <w:sz w:val="16"/>
          <w:szCs w:val="16"/>
        </w:rPr>
        <w:t xml:space="preserve"> 2 de febrero de 1999,</w:t>
      </w:r>
      <w:r w:rsidRPr="005645E9">
        <w:rPr>
          <w:rFonts w:ascii="Verdana" w:hAnsi="Verdana" w:cstheme="majorHAnsi"/>
          <w:sz w:val="16"/>
          <w:szCs w:val="16"/>
        </w:rPr>
        <w:t xml:space="preserve"> párr. 1</w:t>
      </w:r>
      <w:r w:rsidR="0015113B" w:rsidRPr="005645E9">
        <w:rPr>
          <w:rFonts w:ascii="Verdana" w:hAnsi="Verdana" w:cstheme="majorHAnsi"/>
          <w:sz w:val="16"/>
          <w:szCs w:val="16"/>
        </w:rPr>
        <w:t>1</w:t>
      </w:r>
      <w:r w:rsidRPr="005645E9">
        <w:rPr>
          <w:rFonts w:ascii="Verdana" w:hAnsi="Verdana" w:cstheme="majorHAnsi"/>
          <w:sz w:val="16"/>
          <w:szCs w:val="16"/>
        </w:rPr>
        <w:t>.</w:t>
      </w:r>
    </w:p>
  </w:footnote>
  <w:footnote w:id="63">
    <w:p w14:paraId="19FD4C4E" w14:textId="69B518F9" w:rsidR="00DF0E16" w:rsidRPr="005645E9" w:rsidRDefault="00DF0E16" w:rsidP="003E444A">
      <w:pPr>
        <w:pStyle w:val="Textonotapie"/>
        <w:jc w:val="both"/>
        <w:rPr>
          <w:rFonts w:ascii="Verdana" w:hAnsi="Verdana"/>
          <w:sz w:val="16"/>
          <w:szCs w:val="16"/>
          <w:lang w:val="es-CR"/>
        </w:rPr>
      </w:pPr>
      <w:r w:rsidRPr="005645E9">
        <w:rPr>
          <w:rStyle w:val="Refdenotaalpie"/>
          <w:rFonts w:ascii="Verdana" w:hAnsi="Verdana"/>
          <w:sz w:val="16"/>
          <w:szCs w:val="16"/>
        </w:rPr>
        <w:footnoteRef/>
      </w:r>
      <w:r w:rsidRPr="005645E9">
        <w:rPr>
          <w:rFonts w:ascii="Verdana" w:hAnsi="Verdana"/>
          <w:sz w:val="16"/>
          <w:szCs w:val="16"/>
          <w:lang w:val="es-CR"/>
        </w:rPr>
        <w:t xml:space="preserve"> </w:t>
      </w:r>
      <w:r w:rsidRPr="005645E9">
        <w:rPr>
          <w:rFonts w:ascii="Verdana" w:hAnsi="Verdana"/>
          <w:sz w:val="16"/>
          <w:szCs w:val="16"/>
          <w:lang w:val="es-CR"/>
        </w:rPr>
        <w:tab/>
        <w:t xml:space="preserve">Cfr. Caso Manuela y otros vs. El Salvador, supra, párr. 144. </w:t>
      </w:r>
    </w:p>
  </w:footnote>
  <w:footnote w:id="64">
    <w:p w14:paraId="0804F888" w14:textId="77777777" w:rsidR="00560740" w:rsidRPr="005645E9" w:rsidRDefault="00560740" w:rsidP="003E444A">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rPr>
        <w:tab/>
      </w:r>
      <w:r w:rsidRPr="005645E9">
        <w:rPr>
          <w:rFonts w:ascii="Verdana" w:hAnsi="Verdana"/>
          <w:sz w:val="16"/>
          <w:szCs w:val="16"/>
          <w:lang w:val="es-ES"/>
        </w:rPr>
        <w:t xml:space="preserve">Cfr. </w:t>
      </w:r>
      <w:r w:rsidRPr="005645E9">
        <w:rPr>
          <w:rFonts w:ascii="Verdana" w:hAnsi="Verdana"/>
          <w:sz w:val="16"/>
          <w:szCs w:val="16"/>
          <w:lang w:val="es-CR"/>
        </w:rPr>
        <w:t xml:space="preserve">Caso Manuela y otros Vs. El Salvador, supra, </w:t>
      </w:r>
      <w:r w:rsidRPr="005645E9">
        <w:rPr>
          <w:rFonts w:ascii="Verdana" w:hAnsi="Verdana"/>
          <w:sz w:val="16"/>
          <w:szCs w:val="16"/>
        </w:rPr>
        <w:t>p</w:t>
      </w:r>
      <w:r w:rsidRPr="005645E9">
        <w:rPr>
          <w:rFonts w:ascii="Verdana" w:hAnsi="Verdana"/>
          <w:sz w:val="16"/>
          <w:szCs w:val="16"/>
          <w:lang w:val="es-ES"/>
        </w:rPr>
        <w:t xml:space="preserve">árr. 254. </w:t>
      </w:r>
    </w:p>
  </w:footnote>
  <w:footnote w:id="65">
    <w:p w14:paraId="21A5768D" w14:textId="7AAF00B9" w:rsidR="00360D70" w:rsidRPr="005645E9" w:rsidRDefault="00360D70"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r>
      <w:r w:rsidRPr="005645E9">
        <w:rPr>
          <w:rFonts w:ascii="Verdana" w:hAnsi="Verdana"/>
          <w:sz w:val="16"/>
          <w:szCs w:val="16"/>
        </w:rPr>
        <w:t>Informe del Relator Especial sobre la tortura y otros tratos o penas crueles, inhumanos o degradantes, A/HRC/31/57, 5 de enero de 2016</w:t>
      </w:r>
      <w:r w:rsidR="006372D8" w:rsidRPr="005645E9">
        <w:rPr>
          <w:rFonts w:ascii="Verdana" w:hAnsi="Verdana"/>
          <w:sz w:val="16"/>
          <w:szCs w:val="16"/>
        </w:rPr>
        <w:t xml:space="preserve">, párr. </w:t>
      </w:r>
      <w:r w:rsidR="00F1168B" w:rsidRPr="005645E9">
        <w:rPr>
          <w:rFonts w:ascii="Verdana" w:hAnsi="Verdana"/>
          <w:sz w:val="16"/>
          <w:szCs w:val="16"/>
        </w:rPr>
        <w:t>43</w:t>
      </w:r>
      <w:r w:rsidRPr="005645E9">
        <w:rPr>
          <w:rFonts w:ascii="Verdana" w:hAnsi="Verdana"/>
          <w:sz w:val="16"/>
          <w:szCs w:val="16"/>
        </w:rPr>
        <w:t>.</w:t>
      </w:r>
    </w:p>
  </w:footnote>
  <w:footnote w:id="66">
    <w:p w14:paraId="2AB52511" w14:textId="3FD70222" w:rsidR="001C5EC3" w:rsidRPr="005645E9" w:rsidRDefault="001C5EC3">
      <w:pPr>
        <w:pStyle w:val="Textonotapie"/>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t xml:space="preserve">Comité CEDAW, </w:t>
      </w:r>
      <w:r w:rsidR="0088549C" w:rsidRPr="005645E9">
        <w:rPr>
          <w:rFonts w:ascii="Verdana" w:hAnsi="Verdana" w:cstheme="majorHAnsi"/>
          <w:sz w:val="16"/>
          <w:szCs w:val="16"/>
        </w:rPr>
        <w:t xml:space="preserve">Recomendación </w:t>
      </w:r>
      <w:r w:rsidRPr="005645E9">
        <w:rPr>
          <w:rFonts w:ascii="Verdana" w:hAnsi="Verdana"/>
          <w:sz w:val="16"/>
          <w:szCs w:val="16"/>
          <w:lang w:val="es-ES"/>
        </w:rPr>
        <w:t>General No. 35, 26 de julio de 2017, párr. 29.</w:t>
      </w:r>
    </w:p>
  </w:footnote>
  <w:footnote w:id="67">
    <w:p w14:paraId="6243727F" w14:textId="0F5EC585" w:rsidR="00B023CA" w:rsidRPr="005645E9" w:rsidRDefault="00B023CA"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lang w:val="es-CR"/>
        </w:rPr>
        <w:t xml:space="preserve"> </w:t>
      </w:r>
      <w:r w:rsidR="004C0F04" w:rsidRPr="005645E9">
        <w:rPr>
          <w:rFonts w:ascii="Verdana" w:hAnsi="Verdana"/>
          <w:sz w:val="16"/>
          <w:szCs w:val="16"/>
          <w:lang w:val="es-CR"/>
        </w:rPr>
        <w:tab/>
      </w:r>
      <w:r w:rsidR="004C0F04" w:rsidRPr="005645E9">
        <w:rPr>
          <w:rFonts w:ascii="Verdana" w:hAnsi="Verdana"/>
          <w:i/>
          <w:iCs/>
          <w:sz w:val="16"/>
          <w:szCs w:val="16"/>
          <w:lang w:val="es-CR"/>
        </w:rPr>
        <w:t>Cfr</w:t>
      </w:r>
      <w:r w:rsidR="004C0F04" w:rsidRPr="005645E9">
        <w:rPr>
          <w:rFonts w:ascii="Verdana" w:hAnsi="Verdana"/>
          <w:sz w:val="16"/>
          <w:szCs w:val="16"/>
          <w:lang w:val="es-CR"/>
        </w:rPr>
        <w:t>. OMS. Directrices para la atención del aborto. 2022</w:t>
      </w:r>
    </w:p>
  </w:footnote>
  <w:footnote w:id="68">
    <w:p w14:paraId="41D3B772" w14:textId="48E4C8E5" w:rsidR="0051242D" w:rsidRPr="005645E9" w:rsidRDefault="0051242D"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A262F9" w:rsidRPr="005645E9">
        <w:rPr>
          <w:rFonts w:ascii="Verdana" w:hAnsi="Verdana"/>
          <w:sz w:val="16"/>
          <w:szCs w:val="16"/>
          <w:lang w:val="es-ES"/>
        </w:rPr>
        <w:tab/>
      </w:r>
      <w:r w:rsidR="00B62107" w:rsidRPr="005645E9">
        <w:rPr>
          <w:rFonts w:ascii="Verdana" w:hAnsi="Verdana"/>
          <w:i/>
          <w:iCs/>
          <w:sz w:val="16"/>
          <w:szCs w:val="16"/>
          <w:lang w:val="es-ES"/>
        </w:rPr>
        <w:t>Cfr</w:t>
      </w:r>
      <w:r w:rsidR="00B62107" w:rsidRPr="005645E9">
        <w:rPr>
          <w:rFonts w:ascii="Verdana" w:hAnsi="Verdana"/>
          <w:sz w:val="16"/>
          <w:szCs w:val="16"/>
          <w:lang w:val="es-ES"/>
        </w:rPr>
        <w:t xml:space="preserve">. </w:t>
      </w:r>
      <w:r w:rsidR="00B62107" w:rsidRPr="005645E9">
        <w:rPr>
          <w:rFonts w:ascii="Verdana" w:hAnsi="Verdana"/>
          <w:sz w:val="16"/>
          <w:szCs w:val="16"/>
          <w:lang w:val="es-CR"/>
        </w:rPr>
        <w:t xml:space="preserve">Caso De La Cruz Flores Vs. Perú. Fondo, Reparaciones y Costas. Sentencia de 18 de noviembre de 2004. Serie C No. 115, párr. 102. </w:t>
      </w:r>
    </w:p>
  </w:footnote>
  <w:footnote w:id="69">
    <w:p w14:paraId="32AA1F99" w14:textId="01A6AEC5" w:rsidR="00260538" w:rsidRPr="005645E9" w:rsidRDefault="00260538" w:rsidP="003E444A">
      <w:pPr>
        <w:pStyle w:val="Textonotapie"/>
        <w:jc w:val="both"/>
        <w:rPr>
          <w:rFonts w:ascii="Verdana" w:hAnsi="Verdana"/>
          <w:sz w:val="16"/>
          <w:szCs w:val="16"/>
          <w:lang w:val="es-CR"/>
        </w:rPr>
      </w:pPr>
      <w:r w:rsidRPr="005645E9">
        <w:rPr>
          <w:rStyle w:val="Refdenotaalpie"/>
          <w:rFonts w:ascii="Verdana" w:hAnsi="Verdana"/>
          <w:sz w:val="16"/>
          <w:szCs w:val="16"/>
        </w:rPr>
        <w:footnoteRef/>
      </w:r>
      <w:r w:rsidRPr="005645E9">
        <w:rPr>
          <w:rFonts w:ascii="Verdana" w:hAnsi="Verdana"/>
          <w:sz w:val="16"/>
          <w:szCs w:val="16"/>
          <w:lang w:val="es-CR"/>
        </w:rPr>
        <w:t xml:space="preserve"> </w:t>
      </w:r>
      <w:r w:rsidRPr="005645E9">
        <w:rPr>
          <w:rFonts w:ascii="Verdana" w:hAnsi="Verdana"/>
          <w:sz w:val="16"/>
          <w:szCs w:val="16"/>
          <w:lang w:val="es-CR"/>
        </w:rPr>
        <w:tab/>
      </w:r>
      <w:r w:rsidRPr="005645E9">
        <w:rPr>
          <w:rFonts w:ascii="Verdana" w:hAnsi="Verdana"/>
          <w:i/>
          <w:iCs/>
          <w:sz w:val="16"/>
          <w:szCs w:val="16"/>
          <w:lang w:val="es-CR"/>
        </w:rPr>
        <w:t>Cfr</w:t>
      </w:r>
      <w:r w:rsidRPr="005645E9">
        <w:rPr>
          <w:rFonts w:ascii="Verdana" w:hAnsi="Verdana"/>
          <w:sz w:val="16"/>
          <w:szCs w:val="16"/>
          <w:lang w:val="es-CR"/>
        </w:rPr>
        <w:t xml:space="preserve">. </w:t>
      </w:r>
      <w:r w:rsidRPr="005B4245">
        <w:rPr>
          <w:rFonts w:ascii="Verdana" w:hAnsi="Verdana"/>
          <w:i/>
          <w:iCs/>
          <w:sz w:val="16"/>
          <w:szCs w:val="16"/>
          <w:lang w:val="es-CR"/>
        </w:rPr>
        <w:t>Caso Brítez Arce vs. Argentina</w:t>
      </w:r>
      <w:r w:rsidR="00091F85">
        <w:rPr>
          <w:rFonts w:ascii="Verdana" w:hAnsi="Verdana"/>
          <w:sz w:val="16"/>
          <w:szCs w:val="16"/>
          <w:lang w:val="es-CR"/>
        </w:rPr>
        <w:t xml:space="preserve">, </w:t>
      </w:r>
      <w:r w:rsidR="00091F85">
        <w:rPr>
          <w:rFonts w:ascii="Verdana" w:hAnsi="Verdana"/>
          <w:i/>
          <w:iCs/>
          <w:sz w:val="16"/>
          <w:szCs w:val="16"/>
          <w:lang w:val="es-CR"/>
        </w:rPr>
        <w:t>supra</w:t>
      </w:r>
      <w:r w:rsidRPr="005645E9">
        <w:rPr>
          <w:rFonts w:ascii="Verdana" w:hAnsi="Verdana"/>
          <w:sz w:val="16"/>
          <w:szCs w:val="16"/>
          <w:lang w:val="es-CR"/>
        </w:rPr>
        <w:t xml:space="preserve">, párr. 68. </w:t>
      </w:r>
    </w:p>
  </w:footnote>
  <w:footnote w:id="70">
    <w:p w14:paraId="6985F3B9" w14:textId="0F63DFC6" w:rsidR="00260538" w:rsidRPr="005645E9" w:rsidRDefault="00260538"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r>
      <w:r w:rsidR="0042072E" w:rsidRPr="005645E9">
        <w:rPr>
          <w:rFonts w:ascii="Verdana" w:hAnsi="Verdana"/>
          <w:i/>
          <w:iCs/>
          <w:sz w:val="16"/>
          <w:szCs w:val="16"/>
          <w:lang w:val="es-ES"/>
        </w:rPr>
        <w:t>Cfr</w:t>
      </w:r>
      <w:r w:rsidR="0042072E" w:rsidRPr="005645E9">
        <w:rPr>
          <w:rFonts w:ascii="Verdana" w:hAnsi="Verdana"/>
          <w:sz w:val="16"/>
          <w:szCs w:val="16"/>
          <w:lang w:val="es-ES"/>
        </w:rPr>
        <w:t xml:space="preserve">. </w:t>
      </w:r>
      <w:r w:rsidR="009B6DDE" w:rsidRPr="005645E9">
        <w:rPr>
          <w:rFonts w:ascii="Verdana" w:hAnsi="Verdana"/>
          <w:sz w:val="16"/>
          <w:szCs w:val="16"/>
          <w:lang w:val="es-ES"/>
        </w:rPr>
        <w:t>Comité de Derechos Económicos, Sociales y Culturales. Observación General No. 22 (2016), párr. 28</w:t>
      </w:r>
      <w:r w:rsidR="00971CFA" w:rsidRPr="005645E9">
        <w:rPr>
          <w:rFonts w:ascii="Verdana" w:hAnsi="Verdana"/>
          <w:sz w:val="16"/>
          <w:szCs w:val="16"/>
          <w:lang w:val="es-ES"/>
        </w:rPr>
        <w:t xml:space="preserve"> “</w:t>
      </w:r>
      <w:r w:rsidR="00971CFA" w:rsidRPr="005645E9">
        <w:rPr>
          <w:rFonts w:ascii="Verdana" w:hAnsi="Verdana"/>
          <w:sz w:val="16"/>
          <w:szCs w:val="16"/>
          <w:lang w:val="es-CR"/>
        </w:rPr>
        <w:t>La realización de los derechos de la mujer y la igualdad de género, tanto en la legislación como en la práctica, requiere la derogación o la modificación de las leyes, políticas y prácticas discriminatorias en la esfera de la salud sexual y reproductiva. Es necesario eliminar todos los obstáculos al acceso de las mujeres a servicios, bienes, educación e información integrales en materia de salud sexual y reproductiva. A fin de reducir las tasas de mortalidad y morbilidad maternas se necesita atención obstétrica de urgencia y asistencia cualificada en los partos, particularmente en las zonas rurales y alejadas, y medidas de prevención de los abortos en condiciones de riesgo. La prevención de los embarazos no deseados y los abortos en condiciones de riesgo requiere que los Estados adopten medidas legales y de políticas para garantizar a todas las personas el acceso a anticonceptivos asequibles, seguros y eficaces y una educación integral sobre la sexualidad, en particular para los adolescentes; liberalicen las leyes restrictivas del aborto; garanticen el acceso de las mujeres y las niñas a servicios de aborto sin riesgo y asistencia de calidad posterior a casos de aborto, especialmente capacitando a los proveedores de servicios de salud; y respeten el derecho de las mujeres a adoptar decisiones autónomas sobre su salud sexual y reproductiva</w:t>
      </w:r>
      <w:r w:rsidR="00971CFA" w:rsidRPr="005645E9">
        <w:rPr>
          <w:rFonts w:ascii="Verdana" w:hAnsi="Verdana"/>
          <w:sz w:val="16"/>
          <w:szCs w:val="16"/>
          <w:lang w:val="es-ES"/>
        </w:rPr>
        <w:t xml:space="preserve">”. </w:t>
      </w:r>
    </w:p>
  </w:footnote>
  <w:footnote w:id="71">
    <w:p w14:paraId="2D372CFC" w14:textId="7274EAF5" w:rsidR="006A1A82" w:rsidRPr="005645E9" w:rsidRDefault="006A1A82" w:rsidP="003E444A">
      <w:pPr>
        <w:pStyle w:val="Textonotapie"/>
        <w:jc w:val="both"/>
        <w:rPr>
          <w:rFonts w:ascii="Verdana" w:hAnsi="Verdana"/>
          <w:sz w:val="16"/>
          <w:szCs w:val="16"/>
          <w:lang w:val="es-CR"/>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r>
      <w:r w:rsidR="002010EF" w:rsidRPr="005645E9">
        <w:rPr>
          <w:rFonts w:ascii="Verdana" w:hAnsi="Verdana"/>
          <w:sz w:val="16"/>
          <w:szCs w:val="16"/>
          <w:lang w:val="es-CR"/>
        </w:rPr>
        <w:t>Asamblea General de las Naciones Unidas. Informe provisional del Relator Especial sobre el</w:t>
      </w:r>
      <w:r w:rsidR="0088549C" w:rsidRPr="005645E9">
        <w:rPr>
          <w:rFonts w:ascii="Verdana" w:hAnsi="Verdana"/>
          <w:sz w:val="16"/>
          <w:szCs w:val="16"/>
          <w:lang w:val="es-CR"/>
        </w:rPr>
        <w:t xml:space="preserve"> </w:t>
      </w:r>
      <w:r w:rsidR="002010EF" w:rsidRPr="005645E9">
        <w:rPr>
          <w:rFonts w:ascii="Verdana" w:hAnsi="Verdana"/>
          <w:sz w:val="16"/>
          <w:szCs w:val="16"/>
          <w:lang w:val="es-CR"/>
        </w:rPr>
        <w:t>derecho de toda persona al disfrute del más alto nivel posible de salud física y mental, Anand Grover.</w:t>
      </w:r>
      <w:r w:rsidR="0088549C" w:rsidRPr="005645E9">
        <w:rPr>
          <w:rFonts w:ascii="Verdana" w:hAnsi="Verdana"/>
          <w:sz w:val="16"/>
          <w:szCs w:val="16"/>
          <w:lang w:val="es-CR"/>
        </w:rPr>
        <w:t xml:space="preserve"> </w:t>
      </w:r>
      <w:r w:rsidR="002010EF" w:rsidRPr="005645E9">
        <w:rPr>
          <w:rFonts w:ascii="Verdana" w:hAnsi="Verdana"/>
          <w:sz w:val="16"/>
          <w:szCs w:val="16"/>
          <w:lang w:val="es-CR"/>
        </w:rPr>
        <w:t>A/66/254. 3 de agosto de 2011. Párr. 17.</w:t>
      </w:r>
    </w:p>
  </w:footnote>
  <w:footnote w:id="72">
    <w:p w14:paraId="6C9AF09B" w14:textId="510F8BD7" w:rsidR="00904946" w:rsidRPr="005645E9" w:rsidRDefault="00904946"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Pr="005645E9">
        <w:rPr>
          <w:rFonts w:ascii="Verdana" w:hAnsi="Verdana"/>
          <w:sz w:val="16"/>
          <w:szCs w:val="16"/>
          <w:lang w:val="es-ES"/>
        </w:rPr>
        <w:tab/>
      </w:r>
      <w:r w:rsidR="00475635" w:rsidRPr="005645E9">
        <w:rPr>
          <w:rFonts w:ascii="Verdana" w:hAnsi="Verdana"/>
          <w:i/>
          <w:iCs/>
          <w:sz w:val="16"/>
          <w:szCs w:val="16"/>
          <w:lang w:val="es-CR"/>
        </w:rPr>
        <w:t>Cfr</w:t>
      </w:r>
      <w:r w:rsidR="00475635" w:rsidRPr="005645E9">
        <w:rPr>
          <w:rFonts w:ascii="Verdana" w:hAnsi="Verdana"/>
          <w:sz w:val="16"/>
          <w:szCs w:val="16"/>
          <w:lang w:val="es-CR"/>
        </w:rPr>
        <w:t xml:space="preserve">. </w:t>
      </w:r>
      <w:r w:rsidR="00475635" w:rsidRPr="005B4245">
        <w:rPr>
          <w:rFonts w:ascii="Verdana" w:hAnsi="Verdana"/>
          <w:i/>
          <w:iCs/>
          <w:sz w:val="16"/>
          <w:szCs w:val="16"/>
          <w:lang w:val="es-CR"/>
        </w:rPr>
        <w:t>Caso Velásquez Rodríguez Vs. Honduras. Fondo.</w:t>
      </w:r>
      <w:r w:rsidR="00475635" w:rsidRPr="005645E9">
        <w:rPr>
          <w:rFonts w:ascii="Verdana" w:hAnsi="Verdana"/>
          <w:sz w:val="16"/>
          <w:szCs w:val="16"/>
          <w:lang w:val="es-CR"/>
        </w:rPr>
        <w:t xml:space="preserve"> Sentencia de 29 de julio de 1988. Serie C No. 04. Párr. 166.</w:t>
      </w:r>
    </w:p>
  </w:footnote>
  <w:footnote w:id="73">
    <w:p w14:paraId="6339029A" w14:textId="3079C4D5" w:rsidR="00904946" w:rsidRPr="005645E9" w:rsidRDefault="00904946" w:rsidP="003E444A">
      <w:pPr>
        <w:pStyle w:val="Textonotapie"/>
        <w:jc w:val="both"/>
        <w:rPr>
          <w:rFonts w:ascii="Verdana" w:hAnsi="Verdana"/>
          <w:sz w:val="16"/>
          <w:szCs w:val="16"/>
          <w:lang w:val="es-ES"/>
        </w:rPr>
      </w:pPr>
      <w:r w:rsidRPr="005645E9">
        <w:rPr>
          <w:rStyle w:val="Refdenotaalpie"/>
          <w:rFonts w:ascii="Verdana" w:hAnsi="Verdana"/>
          <w:sz w:val="16"/>
          <w:szCs w:val="16"/>
        </w:rPr>
        <w:footnoteRef/>
      </w:r>
      <w:r w:rsidRPr="005645E9">
        <w:rPr>
          <w:rFonts w:ascii="Verdana" w:hAnsi="Verdana"/>
          <w:sz w:val="16"/>
          <w:szCs w:val="16"/>
        </w:rPr>
        <w:t xml:space="preserve"> </w:t>
      </w:r>
      <w:r w:rsidR="00553EF0" w:rsidRPr="005645E9">
        <w:rPr>
          <w:rFonts w:ascii="Verdana" w:hAnsi="Verdana"/>
          <w:sz w:val="16"/>
          <w:szCs w:val="16"/>
        </w:rPr>
        <w:tab/>
      </w:r>
      <w:r w:rsidR="0088549C" w:rsidRPr="005645E9">
        <w:rPr>
          <w:rFonts w:ascii="Verdana" w:hAnsi="Verdana"/>
          <w:i/>
          <w:iCs/>
          <w:sz w:val="16"/>
          <w:szCs w:val="16"/>
        </w:rPr>
        <w:t>Cfr</w:t>
      </w:r>
      <w:r w:rsidR="0088549C" w:rsidRPr="005645E9">
        <w:rPr>
          <w:rFonts w:ascii="Verdana" w:hAnsi="Verdana"/>
          <w:sz w:val="16"/>
          <w:szCs w:val="16"/>
        </w:rPr>
        <w:t xml:space="preserve">. </w:t>
      </w:r>
      <w:r w:rsidR="00553EF0" w:rsidRPr="005B4245">
        <w:rPr>
          <w:rFonts w:ascii="Verdana" w:hAnsi="Verdana"/>
          <w:i/>
          <w:iCs/>
          <w:sz w:val="16"/>
          <w:szCs w:val="16"/>
        </w:rPr>
        <w:t>Caso Baraona Bray Vs. Chile</w:t>
      </w:r>
      <w:r w:rsidR="00091F85">
        <w:rPr>
          <w:rFonts w:ascii="Verdana" w:hAnsi="Verdana"/>
          <w:sz w:val="16"/>
          <w:szCs w:val="16"/>
        </w:rPr>
        <w:t xml:space="preserve">, </w:t>
      </w:r>
      <w:r w:rsidR="00091F85">
        <w:rPr>
          <w:rFonts w:ascii="Verdana" w:hAnsi="Verdana"/>
          <w:i/>
          <w:iCs/>
          <w:sz w:val="16"/>
          <w:szCs w:val="16"/>
        </w:rPr>
        <w:t>supra</w:t>
      </w:r>
      <w:r w:rsidR="00553EF0" w:rsidRPr="005645E9">
        <w:rPr>
          <w:rFonts w:ascii="Verdana" w:hAnsi="Verdana"/>
          <w:sz w:val="16"/>
          <w:szCs w:val="16"/>
        </w:rPr>
        <w:t>, párr. 10</w:t>
      </w:r>
      <w:r w:rsidR="006230C7" w:rsidRPr="005645E9">
        <w:rPr>
          <w:rFonts w:ascii="Verdana" w:hAnsi="Verdana"/>
          <w:sz w:val="16"/>
          <w:szCs w:val="16"/>
        </w:rPr>
        <w:t>9</w:t>
      </w:r>
      <w:r w:rsidR="00553EF0" w:rsidRPr="005645E9">
        <w:rPr>
          <w:rFonts w:ascii="Verdana" w:hAnsi="Verdana"/>
          <w:sz w:val="16"/>
          <w:szCs w:val="16"/>
        </w:rPr>
        <w:t xml:space="preserve">. </w:t>
      </w:r>
    </w:p>
  </w:footnote>
  <w:footnote w:id="74">
    <w:p w14:paraId="74A8770B" w14:textId="7CCCA161" w:rsidR="006372D8" w:rsidRPr="0088549C" w:rsidRDefault="006372D8" w:rsidP="00AD75B0">
      <w:pPr>
        <w:pStyle w:val="Textonotapie"/>
        <w:jc w:val="both"/>
        <w:rPr>
          <w:rFonts w:ascii="Verdana" w:hAnsi="Verdana"/>
          <w:sz w:val="16"/>
          <w:szCs w:val="16"/>
        </w:rPr>
      </w:pPr>
      <w:r w:rsidRPr="005645E9">
        <w:rPr>
          <w:rStyle w:val="Refdenotaalpie"/>
          <w:rFonts w:ascii="Verdana" w:hAnsi="Verdana"/>
          <w:sz w:val="16"/>
          <w:szCs w:val="16"/>
        </w:rPr>
        <w:footnoteRef/>
      </w:r>
      <w:r w:rsidRPr="005645E9">
        <w:rPr>
          <w:rFonts w:ascii="Verdana" w:hAnsi="Verdana"/>
          <w:sz w:val="16"/>
          <w:szCs w:val="16"/>
        </w:rPr>
        <w:t xml:space="preserve"> </w:t>
      </w:r>
      <w:r w:rsidR="00F1168B" w:rsidRPr="005645E9">
        <w:rPr>
          <w:rFonts w:ascii="Verdana" w:hAnsi="Verdana"/>
          <w:sz w:val="16"/>
          <w:szCs w:val="16"/>
        </w:rPr>
        <w:tab/>
        <w:t>Informe del Relator Especial sobre la tortura y otros tratos o penas crueles, inhumanos o degradantes, A/HRC/31/57, 5 de enero de 2016, párr. 4</w:t>
      </w:r>
      <w:r w:rsidR="00107A09" w:rsidRPr="005645E9">
        <w:rPr>
          <w:rFonts w:ascii="Verdana" w:hAnsi="Verdana"/>
          <w:sz w:val="16"/>
          <w:szCs w:val="16"/>
        </w:rPr>
        <w:t>4</w:t>
      </w:r>
      <w:r w:rsidR="00F1168B" w:rsidRPr="005645E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71B2" w14:textId="46D7CCCF" w:rsidR="002B0B6B" w:rsidRPr="008C2AD0" w:rsidRDefault="002B0B6B" w:rsidP="008C2AD0">
    <w:pPr>
      <w:pStyle w:val="Encabezado"/>
      <w:jc w:val="both"/>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6B66"/>
    <w:multiLevelType w:val="hybridMultilevel"/>
    <w:tmpl w:val="49722F1A"/>
    <w:lvl w:ilvl="0" w:tplc="7402D104">
      <w:start w:val="1"/>
      <w:numFmt w:val="decimal"/>
      <w:pStyle w:val="PrrafodeSentencia"/>
      <w:lvlText w:val="%1."/>
      <w:lvlJc w:val="left"/>
      <w:pPr>
        <w:ind w:left="4045" w:hanging="360"/>
      </w:pPr>
      <w:rPr>
        <w:rFonts w:ascii="Verdana" w:hAnsi="Verdana" w:hint="default"/>
        <w:b w:val="0"/>
        <w:i w:val="0"/>
        <w:strike w:val="0"/>
        <w:dstrike w:val="0"/>
        <w:color w:val="auto"/>
        <w:sz w:val="20"/>
        <w:szCs w:val="20"/>
        <w:u w:val="none"/>
        <w:effect w:val="none"/>
        <w:vertAlign w:val="baseline"/>
        <w:lang w:val="pt-BR"/>
      </w:rPr>
    </w:lvl>
    <w:lvl w:ilvl="1" w:tplc="CEA4ED48">
      <w:start w:val="1"/>
      <w:numFmt w:val="upperLetter"/>
      <w:lvlText w:val="%2."/>
      <w:lvlJc w:val="left"/>
      <w:pPr>
        <w:ind w:left="2202"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A2F5E98"/>
    <w:multiLevelType w:val="hybridMultilevel"/>
    <w:tmpl w:val="43162732"/>
    <w:lvl w:ilvl="0" w:tplc="ED8CD26E">
      <w:start w:val="1"/>
      <w:numFmt w:val="decimal"/>
      <w:lvlText w:val="%1."/>
      <w:lvlJc w:val="left"/>
      <w:pPr>
        <w:ind w:left="4613" w:hanging="360"/>
      </w:pPr>
      <w:rPr>
        <w:rFonts w:cs="Times New Roman" w:hint="default"/>
        <w:b w:val="0"/>
        <w:bCs w:val="0"/>
        <w:sz w:val="20"/>
        <w:szCs w:val="20"/>
      </w:rPr>
    </w:lvl>
    <w:lvl w:ilvl="1" w:tplc="16F88DE4">
      <w:start w:val="1"/>
      <w:numFmt w:val="upperLetter"/>
      <w:lvlText w:val="%2."/>
      <w:lvlJc w:val="left"/>
      <w:pPr>
        <w:ind w:left="1440" w:hanging="360"/>
      </w:pPr>
      <w:rPr>
        <w:rFonts w:hint="default"/>
      </w:rPr>
    </w:lvl>
    <w:lvl w:ilvl="2" w:tplc="A036BB48">
      <w:start w:val="1"/>
      <w:numFmt w:val="lowerRoman"/>
      <w:lvlText w:val="%3)"/>
      <w:lvlJc w:val="left"/>
      <w:pPr>
        <w:ind w:left="2700" w:hanging="720"/>
      </w:pPr>
      <w:rPr>
        <w:rFonts w:ascii="Verdana" w:hAnsi="Verdana" w:hint="default"/>
        <w:sz w:val="20"/>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C4C2316"/>
    <w:multiLevelType w:val="hybridMultilevel"/>
    <w:tmpl w:val="46A21960"/>
    <w:lvl w:ilvl="0" w:tplc="223CBCB6">
      <w:start w:val="2"/>
      <w:numFmt w:val="upperLetter"/>
      <w:lvlText w:val="%1."/>
      <w:lvlJc w:val="left"/>
      <w:pPr>
        <w:ind w:left="1080" w:hanging="360"/>
      </w:pPr>
      <w:rPr>
        <w:rFonts w:hint="default"/>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34E61F4A"/>
    <w:multiLevelType w:val="hybridMultilevel"/>
    <w:tmpl w:val="B8CE4D62"/>
    <w:lvl w:ilvl="0" w:tplc="72CC77DC">
      <w:numFmt w:val="bullet"/>
      <w:lvlText w:val="-"/>
      <w:lvlJc w:val="left"/>
      <w:pPr>
        <w:ind w:left="720" w:hanging="360"/>
      </w:pPr>
      <w:rPr>
        <w:rFonts w:ascii="Aptos" w:eastAsiaTheme="minorHAnsi" w:hAnsi="Aptos" w:cstheme="minorBidi"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71B1DFD"/>
    <w:multiLevelType w:val="hybridMultilevel"/>
    <w:tmpl w:val="CD387356"/>
    <w:lvl w:ilvl="0" w:tplc="59B4E370">
      <w:start w:val="4"/>
      <w:numFmt w:val="bullet"/>
      <w:lvlText w:val="-"/>
      <w:lvlJc w:val="left"/>
      <w:pPr>
        <w:ind w:left="720" w:hanging="360"/>
      </w:pPr>
      <w:rPr>
        <w:rFonts w:ascii="Verdana" w:eastAsiaTheme="minorHAnsi" w:hAnsi="Verdan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1920AAD"/>
    <w:multiLevelType w:val="hybridMultilevel"/>
    <w:tmpl w:val="C2D02280"/>
    <w:lvl w:ilvl="0" w:tplc="FFFFFFFF">
      <w:start w:val="1"/>
      <w:numFmt w:val="decimal"/>
      <w:lvlText w:val="%1."/>
      <w:lvlJc w:val="left"/>
      <w:pPr>
        <w:ind w:left="4613" w:hanging="360"/>
      </w:pPr>
      <w:rPr>
        <w:rFonts w:cs="Times New Roman" w:hint="default"/>
        <w:b w:val="0"/>
        <w:bCs w:val="0"/>
        <w:sz w:val="20"/>
        <w:szCs w:val="20"/>
      </w:rPr>
    </w:lvl>
    <w:lvl w:ilvl="1" w:tplc="FBE889FA">
      <w:start w:val="1"/>
      <w:numFmt w:val="upperLetter"/>
      <w:pStyle w:val="Ttulo2"/>
      <w:lvlText w:val="%2."/>
      <w:lvlJc w:val="left"/>
      <w:pPr>
        <w:ind w:left="1440" w:hanging="360"/>
      </w:pPr>
    </w:lvl>
    <w:lvl w:ilvl="2" w:tplc="FFFFFFFF">
      <w:start w:val="1"/>
      <w:numFmt w:val="lowerRoman"/>
      <w:lvlText w:val="%3)"/>
      <w:lvlJc w:val="left"/>
      <w:pPr>
        <w:ind w:left="2700" w:hanging="720"/>
      </w:pPr>
      <w:rPr>
        <w:rFonts w:ascii="Verdana" w:hAnsi="Verdana" w:hint="default"/>
        <w:sz w:val="2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882A63"/>
    <w:multiLevelType w:val="hybridMultilevel"/>
    <w:tmpl w:val="596A9096"/>
    <w:lvl w:ilvl="0" w:tplc="72AA715E">
      <w:start w:val="1"/>
      <w:numFmt w:val="upperRoman"/>
      <w:pStyle w:val="Ttulo1"/>
      <w:lvlText w:val="%1."/>
      <w:lvlJc w:val="right"/>
      <w:pPr>
        <w:ind w:left="720" w:hanging="360"/>
      </w:pPr>
      <w:rPr>
        <w:rFonts w:hint="default"/>
        <w:b/>
        <w:bCs/>
        <w:sz w:val="20"/>
      </w:rPr>
    </w:lvl>
    <w:lvl w:ilvl="1" w:tplc="140A0019">
      <w:start w:val="1"/>
      <w:numFmt w:val="lowerLetter"/>
      <w:lvlText w:val="%2."/>
      <w:lvlJc w:val="left"/>
      <w:pPr>
        <w:ind w:left="1440" w:hanging="360"/>
      </w:pPr>
    </w:lvl>
    <w:lvl w:ilvl="2" w:tplc="53D2229A">
      <w:start w:val="2"/>
      <w:numFmt w:val="upperRoman"/>
      <w:lvlText w:val="%3."/>
      <w:lvlJc w:val="left"/>
      <w:pPr>
        <w:ind w:left="2700" w:hanging="72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9CD2D11"/>
    <w:multiLevelType w:val="hybridMultilevel"/>
    <w:tmpl w:val="77824BC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5">
      <w:start w:val="1"/>
      <w:numFmt w:val="upperLetter"/>
      <w:lvlText w:val="%3."/>
      <w:lvlJc w:val="left"/>
      <w:pPr>
        <w:ind w:left="1069" w:hanging="36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24461871">
    <w:abstractNumId w:val="3"/>
  </w:num>
  <w:num w:numId="2" w16cid:durableId="1096095943">
    <w:abstractNumId w:val="1"/>
  </w:num>
  <w:num w:numId="3" w16cid:durableId="1311596612">
    <w:abstractNumId w:val="7"/>
  </w:num>
  <w:num w:numId="4" w16cid:durableId="208226878">
    <w:abstractNumId w:val="6"/>
  </w:num>
  <w:num w:numId="5" w16cid:durableId="1812749238">
    <w:abstractNumId w:val="4"/>
  </w:num>
  <w:num w:numId="6" w16cid:durableId="354158885">
    <w:abstractNumId w:val="2"/>
  </w:num>
  <w:num w:numId="7" w16cid:durableId="1069306892">
    <w:abstractNumId w:val="0"/>
  </w:num>
  <w:num w:numId="8" w16cid:durableId="780877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A5"/>
    <w:rsid w:val="00004030"/>
    <w:rsid w:val="00004FA0"/>
    <w:rsid w:val="00013615"/>
    <w:rsid w:val="0001798C"/>
    <w:rsid w:val="00020ED9"/>
    <w:rsid w:val="0002180D"/>
    <w:rsid w:val="00022637"/>
    <w:rsid w:val="000258BB"/>
    <w:rsid w:val="00031039"/>
    <w:rsid w:val="00031C76"/>
    <w:rsid w:val="00034C1B"/>
    <w:rsid w:val="00037D2C"/>
    <w:rsid w:val="000406AB"/>
    <w:rsid w:val="00047CE3"/>
    <w:rsid w:val="0005022A"/>
    <w:rsid w:val="00053508"/>
    <w:rsid w:val="00060692"/>
    <w:rsid w:val="00067E21"/>
    <w:rsid w:val="00071CBB"/>
    <w:rsid w:val="00072D0F"/>
    <w:rsid w:val="00073ABB"/>
    <w:rsid w:val="000760B3"/>
    <w:rsid w:val="0007625D"/>
    <w:rsid w:val="000801B2"/>
    <w:rsid w:val="0008059D"/>
    <w:rsid w:val="000810F1"/>
    <w:rsid w:val="00082D82"/>
    <w:rsid w:val="00083F38"/>
    <w:rsid w:val="00085AD8"/>
    <w:rsid w:val="00090369"/>
    <w:rsid w:val="00090EE2"/>
    <w:rsid w:val="00091F85"/>
    <w:rsid w:val="00093B7F"/>
    <w:rsid w:val="00094ECE"/>
    <w:rsid w:val="00095435"/>
    <w:rsid w:val="00095BC2"/>
    <w:rsid w:val="00096CD4"/>
    <w:rsid w:val="000970BD"/>
    <w:rsid w:val="00097A7B"/>
    <w:rsid w:val="000A4965"/>
    <w:rsid w:val="000A6707"/>
    <w:rsid w:val="000A784E"/>
    <w:rsid w:val="000A7F80"/>
    <w:rsid w:val="000B3910"/>
    <w:rsid w:val="000C32DB"/>
    <w:rsid w:val="000C3F5A"/>
    <w:rsid w:val="000C4BCA"/>
    <w:rsid w:val="000C6D8C"/>
    <w:rsid w:val="000C75E6"/>
    <w:rsid w:val="000D0A6E"/>
    <w:rsid w:val="000D1469"/>
    <w:rsid w:val="000D33E6"/>
    <w:rsid w:val="000D416F"/>
    <w:rsid w:val="000D51BF"/>
    <w:rsid w:val="000E51D6"/>
    <w:rsid w:val="000E5E70"/>
    <w:rsid w:val="000F43E7"/>
    <w:rsid w:val="000F73DE"/>
    <w:rsid w:val="00103C48"/>
    <w:rsid w:val="00105DFE"/>
    <w:rsid w:val="00107A09"/>
    <w:rsid w:val="00114C40"/>
    <w:rsid w:val="00115ADE"/>
    <w:rsid w:val="001170BB"/>
    <w:rsid w:val="0012155F"/>
    <w:rsid w:val="00124207"/>
    <w:rsid w:val="001251DE"/>
    <w:rsid w:val="00126F69"/>
    <w:rsid w:val="00127722"/>
    <w:rsid w:val="00130707"/>
    <w:rsid w:val="00130A7C"/>
    <w:rsid w:val="001319EC"/>
    <w:rsid w:val="00137FD2"/>
    <w:rsid w:val="00137FDF"/>
    <w:rsid w:val="00140DCA"/>
    <w:rsid w:val="00146BD4"/>
    <w:rsid w:val="0015113B"/>
    <w:rsid w:val="00151E09"/>
    <w:rsid w:val="001546A7"/>
    <w:rsid w:val="00156194"/>
    <w:rsid w:val="00161EE1"/>
    <w:rsid w:val="00162280"/>
    <w:rsid w:val="001627D2"/>
    <w:rsid w:val="00164D65"/>
    <w:rsid w:val="001726C5"/>
    <w:rsid w:val="001727CC"/>
    <w:rsid w:val="00172E3A"/>
    <w:rsid w:val="00173B5E"/>
    <w:rsid w:val="00176CF2"/>
    <w:rsid w:val="00177970"/>
    <w:rsid w:val="0018031F"/>
    <w:rsid w:val="0018292F"/>
    <w:rsid w:val="001839E0"/>
    <w:rsid w:val="00183F4A"/>
    <w:rsid w:val="00184D5C"/>
    <w:rsid w:val="001871CE"/>
    <w:rsid w:val="00187FA6"/>
    <w:rsid w:val="00190791"/>
    <w:rsid w:val="001965F2"/>
    <w:rsid w:val="00196837"/>
    <w:rsid w:val="001974AB"/>
    <w:rsid w:val="001A0E81"/>
    <w:rsid w:val="001A20BE"/>
    <w:rsid w:val="001A2670"/>
    <w:rsid w:val="001A4B69"/>
    <w:rsid w:val="001A559B"/>
    <w:rsid w:val="001A5684"/>
    <w:rsid w:val="001A6176"/>
    <w:rsid w:val="001A7D40"/>
    <w:rsid w:val="001B26F5"/>
    <w:rsid w:val="001B2BCD"/>
    <w:rsid w:val="001B553D"/>
    <w:rsid w:val="001B61C6"/>
    <w:rsid w:val="001C0654"/>
    <w:rsid w:val="001C0E67"/>
    <w:rsid w:val="001C1BF3"/>
    <w:rsid w:val="001C5405"/>
    <w:rsid w:val="001C5EC3"/>
    <w:rsid w:val="001D4F8A"/>
    <w:rsid w:val="001D7C44"/>
    <w:rsid w:val="001E1B47"/>
    <w:rsid w:val="001E5E6E"/>
    <w:rsid w:val="001F2617"/>
    <w:rsid w:val="001F30DB"/>
    <w:rsid w:val="001F4376"/>
    <w:rsid w:val="001F7BB7"/>
    <w:rsid w:val="00200B0A"/>
    <w:rsid w:val="002010EF"/>
    <w:rsid w:val="00201E24"/>
    <w:rsid w:val="00202745"/>
    <w:rsid w:val="002030F4"/>
    <w:rsid w:val="002047E4"/>
    <w:rsid w:val="00205778"/>
    <w:rsid w:val="0021016E"/>
    <w:rsid w:val="00211165"/>
    <w:rsid w:val="0021295A"/>
    <w:rsid w:val="002134A8"/>
    <w:rsid w:val="00215866"/>
    <w:rsid w:val="00221144"/>
    <w:rsid w:val="00222134"/>
    <w:rsid w:val="00224786"/>
    <w:rsid w:val="00224B52"/>
    <w:rsid w:val="00226DA0"/>
    <w:rsid w:val="00227342"/>
    <w:rsid w:val="00227645"/>
    <w:rsid w:val="00227778"/>
    <w:rsid w:val="00227DEB"/>
    <w:rsid w:val="002346A0"/>
    <w:rsid w:val="00240E13"/>
    <w:rsid w:val="00242ADE"/>
    <w:rsid w:val="002447D6"/>
    <w:rsid w:val="00246995"/>
    <w:rsid w:val="00246F5D"/>
    <w:rsid w:val="00247C7D"/>
    <w:rsid w:val="00255462"/>
    <w:rsid w:val="0025627F"/>
    <w:rsid w:val="00256EC5"/>
    <w:rsid w:val="00260538"/>
    <w:rsid w:val="002618BC"/>
    <w:rsid w:val="0026429F"/>
    <w:rsid w:val="002650A0"/>
    <w:rsid w:val="002650B2"/>
    <w:rsid w:val="00265834"/>
    <w:rsid w:val="002701CE"/>
    <w:rsid w:val="00270971"/>
    <w:rsid w:val="002741D1"/>
    <w:rsid w:val="00274C3C"/>
    <w:rsid w:val="00275B11"/>
    <w:rsid w:val="00275D64"/>
    <w:rsid w:val="0027610A"/>
    <w:rsid w:val="0027682F"/>
    <w:rsid w:val="00280E2F"/>
    <w:rsid w:val="002816AF"/>
    <w:rsid w:val="00283617"/>
    <w:rsid w:val="00290964"/>
    <w:rsid w:val="00291F8B"/>
    <w:rsid w:val="00293F25"/>
    <w:rsid w:val="00294076"/>
    <w:rsid w:val="002946B1"/>
    <w:rsid w:val="00295A4A"/>
    <w:rsid w:val="002972A8"/>
    <w:rsid w:val="00297999"/>
    <w:rsid w:val="002A1379"/>
    <w:rsid w:val="002A7B5E"/>
    <w:rsid w:val="002B07A3"/>
    <w:rsid w:val="002B0B6B"/>
    <w:rsid w:val="002B3C7F"/>
    <w:rsid w:val="002C09F2"/>
    <w:rsid w:val="002C1020"/>
    <w:rsid w:val="002C328F"/>
    <w:rsid w:val="002C724A"/>
    <w:rsid w:val="002D17F3"/>
    <w:rsid w:val="002D3D4C"/>
    <w:rsid w:val="002D69C5"/>
    <w:rsid w:val="002D6E83"/>
    <w:rsid w:val="002D71CE"/>
    <w:rsid w:val="002E0137"/>
    <w:rsid w:val="002E04FE"/>
    <w:rsid w:val="002E12D1"/>
    <w:rsid w:val="002E3051"/>
    <w:rsid w:val="002E348C"/>
    <w:rsid w:val="002E37B6"/>
    <w:rsid w:val="002E4FC0"/>
    <w:rsid w:val="002E5817"/>
    <w:rsid w:val="002E6543"/>
    <w:rsid w:val="002E6CE2"/>
    <w:rsid w:val="002F0341"/>
    <w:rsid w:val="002F03D5"/>
    <w:rsid w:val="002F1421"/>
    <w:rsid w:val="002F3264"/>
    <w:rsid w:val="002F3ED2"/>
    <w:rsid w:val="002F3F21"/>
    <w:rsid w:val="002F5887"/>
    <w:rsid w:val="00300E16"/>
    <w:rsid w:val="00302ACE"/>
    <w:rsid w:val="00302EC3"/>
    <w:rsid w:val="00304467"/>
    <w:rsid w:val="003076C6"/>
    <w:rsid w:val="00314E02"/>
    <w:rsid w:val="003153B4"/>
    <w:rsid w:val="003160EE"/>
    <w:rsid w:val="003177B1"/>
    <w:rsid w:val="00317800"/>
    <w:rsid w:val="003205AE"/>
    <w:rsid w:val="00323FEB"/>
    <w:rsid w:val="00331EF5"/>
    <w:rsid w:val="00334449"/>
    <w:rsid w:val="003351FF"/>
    <w:rsid w:val="0033605D"/>
    <w:rsid w:val="00337E01"/>
    <w:rsid w:val="00340998"/>
    <w:rsid w:val="00340DC3"/>
    <w:rsid w:val="00343310"/>
    <w:rsid w:val="00344068"/>
    <w:rsid w:val="0034773D"/>
    <w:rsid w:val="003506E5"/>
    <w:rsid w:val="003518B2"/>
    <w:rsid w:val="003519D1"/>
    <w:rsid w:val="00354A28"/>
    <w:rsid w:val="00356726"/>
    <w:rsid w:val="003567FB"/>
    <w:rsid w:val="003577D0"/>
    <w:rsid w:val="003607D6"/>
    <w:rsid w:val="00360D70"/>
    <w:rsid w:val="00360EBB"/>
    <w:rsid w:val="00361636"/>
    <w:rsid w:val="00362178"/>
    <w:rsid w:val="003702FE"/>
    <w:rsid w:val="003717F6"/>
    <w:rsid w:val="00376DF3"/>
    <w:rsid w:val="00380EE1"/>
    <w:rsid w:val="00382489"/>
    <w:rsid w:val="00384099"/>
    <w:rsid w:val="00384ED9"/>
    <w:rsid w:val="00392BAD"/>
    <w:rsid w:val="00396F34"/>
    <w:rsid w:val="00397552"/>
    <w:rsid w:val="003A0A7E"/>
    <w:rsid w:val="003A1B43"/>
    <w:rsid w:val="003A2110"/>
    <w:rsid w:val="003A2F89"/>
    <w:rsid w:val="003A4B55"/>
    <w:rsid w:val="003A5691"/>
    <w:rsid w:val="003B170B"/>
    <w:rsid w:val="003B23D5"/>
    <w:rsid w:val="003B2D32"/>
    <w:rsid w:val="003B2D42"/>
    <w:rsid w:val="003B703F"/>
    <w:rsid w:val="003C2972"/>
    <w:rsid w:val="003C3544"/>
    <w:rsid w:val="003C4639"/>
    <w:rsid w:val="003C4AFD"/>
    <w:rsid w:val="003C5339"/>
    <w:rsid w:val="003C5AF9"/>
    <w:rsid w:val="003D0CDA"/>
    <w:rsid w:val="003D3A60"/>
    <w:rsid w:val="003E1A62"/>
    <w:rsid w:val="003E2551"/>
    <w:rsid w:val="003E444A"/>
    <w:rsid w:val="003E7E1D"/>
    <w:rsid w:val="003F1F8B"/>
    <w:rsid w:val="003F436A"/>
    <w:rsid w:val="003F5B4A"/>
    <w:rsid w:val="003F5E11"/>
    <w:rsid w:val="003F6307"/>
    <w:rsid w:val="00400610"/>
    <w:rsid w:val="004030BC"/>
    <w:rsid w:val="00406638"/>
    <w:rsid w:val="00407504"/>
    <w:rsid w:val="004076CE"/>
    <w:rsid w:val="0041250F"/>
    <w:rsid w:val="00415F33"/>
    <w:rsid w:val="00417A5C"/>
    <w:rsid w:val="00417FD7"/>
    <w:rsid w:val="0042072E"/>
    <w:rsid w:val="00422413"/>
    <w:rsid w:val="00423FD2"/>
    <w:rsid w:val="00427197"/>
    <w:rsid w:val="00430DF1"/>
    <w:rsid w:val="004334E1"/>
    <w:rsid w:val="0043549E"/>
    <w:rsid w:val="00440C12"/>
    <w:rsid w:val="004436EF"/>
    <w:rsid w:val="00445865"/>
    <w:rsid w:val="0044591F"/>
    <w:rsid w:val="004509FB"/>
    <w:rsid w:val="00450FFF"/>
    <w:rsid w:val="00455001"/>
    <w:rsid w:val="00455942"/>
    <w:rsid w:val="0046069B"/>
    <w:rsid w:val="00464B91"/>
    <w:rsid w:val="004662BF"/>
    <w:rsid w:val="00467D0E"/>
    <w:rsid w:val="00471786"/>
    <w:rsid w:val="00475635"/>
    <w:rsid w:val="00480DE2"/>
    <w:rsid w:val="0048193F"/>
    <w:rsid w:val="0048295B"/>
    <w:rsid w:val="00487097"/>
    <w:rsid w:val="00491A23"/>
    <w:rsid w:val="00491DC3"/>
    <w:rsid w:val="00492D5C"/>
    <w:rsid w:val="00493F9C"/>
    <w:rsid w:val="00494246"/>
    <w:rsid w:val="00496CF7"/>
    <w:rsid w:val="00497606"/>
    <w:rsid w:val="004976C6"/>
    <w:rsid w:val="004A00EE"/>
    <w:rsid w:val="004A14CB"/>
    <w:rsid w:val="004A3996"/>
    <w:rsid w:val="004A460B"/>
    <w:rsid w:val="004A5B5E"/>
    <w:rsid w:val="004A6B2A"/>
    <w:rsid w:val="004B0FE3"/>
    <w:rsid w:val="004B27B7"/>
    <w:rsid w:val="004B2E2E"/>
    <w:rsid w:val="004B3734"/>
    <w:rsid w:val="004B657F"/>
    <w:rsid w:val="004C0F04"/>
    <w:rsid w:val="004C31DD"/>
    <w:rsid w:val="004D0A7D"/>
    <w:rsid w:val="004D14A9"/>
    <w:rsid w:val="004D43EF"/>
    <w:rsid w:val="004D4687"/>
    <w:rsid w:val="004D4CD3"/>
    <w:rsid w:val="004D68A5"/>
    <w:rsid w:val="004E2F48"/>
    <w:rsid w:val="004E4304"/>
    <w:rsid w:val="004E4BA5"/>
    <w:rsid w:val="004E5A7E"/>
    <w:rsid w:val="004E7B1B"/>
    <w:rsid w:val="004F1550"/>
    <w:rsid w:val="004F77AB"/>
    <w:rsid w:val="004F7D04"/>
    <w:rsid w:val="00500D0B"/>
    <w:rsid w:val="00501EAC"/>
    <w:rsid w:val="00502420"/>
    <w:rsid w:val="0050433D"/>
    <w:rsid w:val="00511AFC"/>
    <w:rsid w:val="0051242D"/>
    <w:rsid w:val="005130B3"/>
    <w:rsid w:val="0051347F"/>
    <w:rsid w:val="005137FC"/>
    <w:rsid w:val="005168FA"/>
    <w:rsid w:val="005175D1"/>
    <w:rsid w:val="0052312F"/>
    <w:rsid w:val="00523813"/>
    <w:rsid w:val="00524EED"/>
    <w:rsid w:val="00532030"/>
    <w:rsid w:val="00533310"/>
    <w:rsid w:val="00546EC7"/>
    <w:rsid w:val="005520A4"/>
    <w:rsid w:val="00552B8C"/>
    <w:rsid w:val="00553EF0"/>
    <w:rsid w:val="005556BE"/>
    <w:rsid w:val="005559BE"/>
    <w:rsid w:val="00555E64"/>
    <w:rsid w:val="00557AE4"/>
    <w:rsid w:val="00560740"/>
    <w:rsid w:val="005612E6"/>
    <w:rsid w:val="00561E50"/>
    <w:rsid w:val="0056222E"/>
    <w:rsid w:val="005629F7"/>
    <w:rsid w:val="00562B92"/>
    <w:rsid w:val="005645E9"/>
    <w:rsid w:val="00564EA3"/>
    <w:rsid w:val="00565262"/>
    <w:rsid w:val="00570AC8"/>
    <w:rsid w:val="00571F99"/>
    <w:rsid w:val="00572609"/>
    <w:rsid w:val="00573458"/>
    <w:rsid w:val="00574134"/>
    <w:rsid w:val="005766C9"/>
    <w:rsid w:val="00580134"/>
    <w:rsid w:val="00582001"/>
    <w:rsid w:val="005835CE"/>
    <w:rsid w:val="00584AEB"/>
    <w:rsid w:val="00585635"/>
    <w:rsid w:val="005908A4"/>
    <w:rsid w:val="00593F7C"/>
    <w:rsid w:val="005A3E2C"/>
    <w:rsid w:val="005A4185"/>
    <w:rsid w:val="005A50E9"/>
    <w:rsid w:val="005B2703"/>
    <w:rsid w:val="005B3B33"/>
    <w:rsid w:val="005B4245"/>
    <w:rsid w:val="005B4535"/>
    <w:rsid w:val="005B4961"/>
    <w:rsid w:val="005B5F75"/>
    <w:rsid w:val="005B73DA"/>
    <w:rsid w:val="005C3112"/>
    <w:rsid w:val="005C4DC7"/>
    <w:rsid w:val="005D083A"/>
    <w:rsid w:val="005D0B78"/>
    <w:rsid w:val="005D2835"/>
    <w:rsid w:val="005D490E"/>
    <w:rsid w:val="005D595A"/>
    <w:rsid w:val="005E5254"/>
    <w:rsid w:val="005E6FC6"/>
    <w:rsid w:val="005E7689"/>
    <w:rsid w:val="005F054E"/>
    <w:rsid w:val="005F0BA6"/>
    <w:rsid w:val="005F16BE"/>
    <w:rsid w:val="005F3CD7"/>
    <w:rsid w:val="005F410D"/>
    <w:rsid w:val="005F547E"/>
    <w:rsid w:val="00603557"/>
    <w:rsid w:val="00606305"/>
    <w:rsid w:val="00607DD8"/>
    <w:rsid w:val="00607F4E"/>
    <w:rsid w:val="00610057"/>
    <w:rsid w:val="006176AD"/>
    <w:rsid w:val="006210A5"/>
    <w:rsid w:val="00621471"/>
    <w:rsid w:val="0062187B"/>
    <w:rsid w:val="006230C7"/>
    <w:rsid w:val="00625C44"/>
    <w:rsid w:val="00627BB2"/>
    <w:rsid w:val="00627E5F"/>
    <w:rsid w:val="006305BA"/>
    <w:rsid w:val="00636055"/>
    <w:rsid w:val="006372D8"/>
    <w:rsid w:val="006375C1"/>
    <w:rsid w:val="00641CC4"/>
    <w:rsid w:val="00641D46"/>
    <w:rsid w:val="00642D3D"/>
    <w:rsid w:val="00644748"/>
    <w:rsid w:val="00651F04"/>
    <w:rsid w:val="00652EA6"/>
    <w:rsid w:val="0065470E"/>
    <w:rsid w:val="00656163"/>
    <w:rsid w:val="00656DB8"/>
    <w:rsid w:val="00657E77"/>
    <w:rsid w:val="00661961"/>
    <w:rsid w:val="00662E87"/>
    <w:rsid w:val="006631D0"/>
    <w:rsid w:val="00663491"/>
    <w:rsid w:val="00664A78"/>
    <w:rsid w:val="00664AC8"/>
    <w:rsid w:val="006661F2"/>
    <w:rsid w:val="00666730"/>
    <w:rsid w:val="00672F01"/>
    <w:rsid w:val="00674FBB"/>
    <w:rsid w:val="00675B15"/>
    <w:rsid w:val="006772DF"/>
    <w:rsid w:val="00677C5A"/>
    <w:rsid w:val="006832D3"/>
    <w:rsid w:val="00687556"/>
    <w:rsid w:val="00687678"/>
    <w:rsid w:val="00691341"/>
    <w:rsid w:val="00691800"/>
    <w:rsid w:val="0069221B"/>
    <w:rsid w:val="00693D18"/>
    <w:rsid w:val="00694308"/>
    <w:rsid w:val="006955EB"/>
    <w:rsid w:val="006969B7"/>
    <w:rsid w:val="006A0FBB"/>
    <w:rsid w:val="006A187E"/>
    <w:rsid w:val="006A1A82"/>
    <w:rsid w:val="006A363E"/>
    <w:rsid w:val="006A436C"/>
    <w:rsid w:val="006A45EF"/>
    <w:rsid w:val="006A658C"/>
    <w:rsid w:val="006A7F07"/>
    <w:rsid w:val="006B0F77"/>
    <w:rsid w:val="006B181A"/>
    <w:rsid w:val="006B1A95"/>
    <w:rsid w:val="006B444D"/>
    <w:rsid w:val="006B537B"/>
    <w:rsid w:val="006B5D2B"/>
    <w:rsid w:val="006B6501"/>
    <w:rsid w:val="006C0486"/>
    <w:rsid w:val="006C0698"/>
    <w:rsid w:val="006C1411"/>
    <w:rsid w:val="006C2AFC"/>
    <w:rsid w:val="006C2D55"/>
    <w:rsid w:val="006C50AC"/>
    <w:rsid w:val="006C5183"/>
    <w:rsid w:val="006C5F7A"/>
    <w:rsid w:val="006D0877"/>
    <w:rsid w:val="006D1210"/>
    <w:rsid w:val="006D12AE"/>
    <w:rsid w:val="006D3785"/>
    <w:rsid w:val="006D6379"/>
    <w:rsid w:val="006D6A52"/>
    <w:rsid w:val="006E0605"/>
    <w:rsid w:val="006E140F"/>
    <w:rsid w:val="006E2528"/>
    <w:rsid w:val="006E2CFD"/>
    <w:rsid w:val="006E60B3"/>
    <w:rsid w:val="006F0AD1"/>
    <w:rsid w:val="006F33E2"/>
    <w:rsid w:val="006F361C"/>
    <w:rsid w:val="006F7A07"/>
    <w:rsid w:val="00700324"/>
    <w:rsid w:val="00700EC1"/>
    <w:rsid w:val="007023E7"/>
    <w:rsid w:val="00704D31"/>
    <w:rsid w:val="0070655A"/>
    <w:rsid w:val="0071358D"/>
    <w:rsid w:val="00714ED8"/>
    <w:rsid w:val="00715A53"/>
    <w:rsid w:val="00726508"/>
    <w:rsid w:val="00727EF6"/>
    <w:rsid w:val="0073123C"/>
    <w:rsid w:val="00731530"/>
    <w:rsid w:val="0073204D"/>
    <w:rsid w:val="007329CF"/>
    <w:rsid w:val="007330D6"/>
    <w:rsid w:val="0073375E"/>
    <w:rsid w:val="0073670D"/>
    <w:rsid w:val="007407B5"/>
    <w:rsid w:val="00740E5B"/>
    <w:rsid w:val="00744D88"/>
    <w:rsid w:val="00745072"/>
    <w:rsid w:val="0074561D"/>
    <w:rsid w:val="00746120"/>
    <w:rsid w:val="00746B5C"/>
    <w:rsid w:val="0075000E"/>
    <w:rsid w:val="0075151E"/>
    <w:rsid w:val="0075204B"/>
    <w:rsid w:val="00753936"/>
    <w:rsid w:val="007559C4"/>
    <w:rsid w:val="00756BE7"/>
    <w:rsid w:val="00764020"/>
    <w:rsid w:val="00764A0B"/>
    <w:rsid w:val="007736AA"/>
    <w:rsid w:val="0077440D"/>
    <w:rsid w:val="0077456D"/>
    <w:rsid w:val="0077604E"/>
    <w:rsid w:val="00776EEB"/>
    <w:rsid w:val="007773B2"/>
    <w:rsid w:val="007814A8"/>
    <w:rsid w:val="00785B33"/>
    <w:rsid w:val="00791648"/>
    <w:rsid w:val="007922A1"/>
    <w:rsid w:val="007A0C0F"/>
    <w:rsid w:val="007A4A31"/>
    <w:rsid w:val="007B0709"/>
    <w:rsid w:val="007B61A7"/>
    <w:rsid w:val="007C004A"/>
    <w:rsid w:val="007C07E3"/>
    <w:rsid w:val="007C139D"/>
    <w:rsid w:val="007C3BAB"/>
    <w:rsid w:val="007C4144"/>
    <w:rsid w:val="007C5CE2"/>
    <w:rsid w:val="007C6B15"/>
    <w:rsid w:val="007D2D85"/>
    <w:rsid w:val="007D2DCE"/>
    <w:rsid w:val="007D4343"/>
    <w:rsid w:val="007D502E"/>
    <w:rsid w:val="007D671F"/>
    <w:rsid w:val="007D6C5D"/>
    <w:rsid w:val="007D6C94"/>
    <w:rsid w:val="007E07C9"/>
    <w:rsid w:val="007E0A23"/>
    <w:rsid w:val="007E2E79"/>
    <w:rsid w:val="007E5508"/>
    <w:rsid w:val="007E5BD7"/>
    <w:rsid w:val="007E5FCE"/>
    <w:rsid w:val="007F14DA"/>
    <w:rsid w:val="007F14E7"/>
    <w:rsid w:val="007F1602"/>
    <w:rsid w:val="007F161A"/>
    <w:rsid w:val="007F1AD1"/>
    <w:rsid w:val="007F2932"/>
    <w:rsid w:val="007F2B6A"/>
    <w:rsid w:val="007F72A2"/>
    <w:rsid w:val="007F7B4D"/>
    <w:rsid w:val="008037B4"/>
    <w:rsid w:val="008038DF"/>
    <w:rsid w:val="00806A33"/>
    <w:rsid w:val="008074D0"/>
    <w:rsid w:val="00813B2F"/>
    <w:rsid w:val="00821171"/>
    <w:rsid w:val="00821949"/>
    <w:rsid w:val="008237E2"/>
    <w:rsid w:val="00823F88"/>
    <w:rsid w:val="008253AF"/>
    <w:rsid w:val="00831401"/>
    <w:rsid w:val="00831E94"/>
    <w:rsid w:val="00836B47"/>
    <w:rsid w:val="008401AD"/>
    <w:rsid w:val="00840CBD"/>
    <w:rsid w:val="00843C1D"/>
    <w:rsid w:val="0084403C"/>
    <w:rsid w:val="00846F05"/>
    <w:rsid w:val="00852EC9"/>
    <w:rsid w:val="0085367A"/>
    <w:rsid w:val="00853C15"/>
    <w:rsid w:val="0085453D"/>
    <w:rsid w:val="00856CA5"/>
    <w:rsid w:val="00856FE2"/>
    <w:rsid w:val="00860A99"/>
    <w:rsid w:val="008618D2"/>
    <w:rsid w:val="00862829"/>
    <w:rsid w:val="008628F4"/>
    <w:rsid w:val="00865A23"/>
    <w:rsid w:val="0086607E"/>
    <w:rsid w:val="00866492"/>
    <w:rsid w:val="00867BC2"/>
    <w:rsid w:val="008727B2"/>
    <w:rsid w:val="008728FE"/>
    <w:rsid w:val="00874055"/>
    <w:rsid w:val="00874FE2"/>
    <w:rsid w:val="00875BD1"/>
    <w:rsid w:val="00882A55"/>
    <w:rsid w:val="008842A3"/>
    <w:rsid w:val="0088549C"/>
    <w:rsid w:val="00885612"/>
    <w:rsid w:val="008856A4"/>
    <w:rsid w:val="0088742E"/>
    <w:rsid w:val="00890614"/>
    <w:rsid w:val="0089229D"/>
    <w:rsid w:val="00894A83"/>
    <w:rsid w:val="008958B6"/>
    <w:rsid w:val="00897DFE"/>
    <w:rsid w:val="008A1529"/>
    <w:rsid w:val="008A1A82"/>
    <w:rsid w:val="008A23B8"/>
    <w:rsid w:val="008A29A8"/>
    <w:rsid w:val="008A2A7B"/>
    <w:rsid w:val="008A452E"/>
    <w:rsid w:val="008A4C3A"/>
    <w:rsid w:val="008A58ED"/>
    <w:rsid w:val="008B02F6"/>
    <w:rsid w:val="008B2478"/>
    <w:rsid w:val="008B38FB"/>
    <w:rsid w:val="008B7EE4"/>
    <w:rsid w:val="008C2AD0"/>
    <w:rsid w:val="008C2B6B"/>
    <w:rsid w:val="008C3445"/>
    <w:rsid w:val="008D1533"/>
    <w:rsid w:val="008D4677"/>
    <w:rsid w:val="008D5E70"/>
    <w:rsid w:val="008D785B"/>
    <w:rsid w:val="008E0E4F"/>
    <w:rsid w:val="008E25D4"/>
    <w:rsid w:val="008E2D82"/>
    <w:rsid w:val="008E2DEA"/>
    <w:rsid w:val="008E41E5"/>
    <w:rsid w:val="008E6059"/>
    <w:rsid w:val="008E6288"/>
    <w:rsid w:val="008E6FA6"/>
    <w:rsid w:val="008E70C7"/>
    <w:rsid w:val="008E74F3"/>
    <w:rsid w:val="008E7C3B"/>
    <w:rsid w:val="008F5746"/>
    <w:rsid w:val="0090034B"/>
    <w:rsid w:val="00901A3F"/>
    <w:rsid w:val="00904946"/>
    <w:rsid w:val="00905326"/>
    <w:rsid w:val="0090623C"/>
    <w:rsid w:val="0091029A"/>
    <w:rsid w:val="009103D3"/>
    <w:rsid w:val="00910961"/>
    <w:rsid w:val="009109D8"/>
    <w:rsid w:val="0091144B"/>
    <w:rsid w:val="009130CF"/>
    <w:rsid w:val="0091516C"/>
    <w:rsid w:val="00923A52"/>
    <w:rsid w:val="00924457"/>
    <w:rsid w:val="009254D0"/>
    <w:rsid w:val="00925866"/>
    <w:rsid w:val="00925DDF"/>
    <w:rsid w:val="00927D16"/>
    <w:rsid w:val="00930FFD"/>
    <w:rsid w:val="00931AD2"/>
    <w:rsid w:val="00932440"/>
    <w:rsid w:val="0093257E"/>
    <w:rsid w:val="00932841"/>
    <w:rsid w:val="00933478"/>
    <w:rsid w:val="00933BD0"/>
    <w:rsid w:val="0093428E"/>
    <w:rsid w:val="00935DD7"/>
    <w:rsid w:val="009405F3"/>
    <w:rsid w:val="009422D8"/>
    <w:rsid w:val="00943893"/>
    <w:rsid w:val="00943A68"/>
    <w:rsid w:val="00943B01"/>
    <w:rsid w:val="00943B9F"/>
    <w:rsid w:val="009463C2"/>
    <w:rsid w:val="0095057C"/>
    <w:rsid w:val="009507A1"/>
    <w:rsid w:val="009509D9"/>
    <w:rsid w:val="00954535"/>
    <w:rsid w:val="0095627B"/>
    <w:rsid w:val="00965DF5"/>
    <w:rsid w:val="009700B5"/>
    <w:rsid w:val="009707C4"/>
    <w:rsid w:val="00970D62"/>
    <w:rsid w:val="00971CFA"/>
    <w:rsid w:val="00972679"/>
    <w:rsid w:val="00976638"/>
    <w:rsid w:val="00977CF4"/>
    <w:rsid w:val="0098268B"/>
    <w:rsid w:val="00984F2F"/>
    <w:rsid w:val="00987023"/>
    <w:rsid w:val="00992201"/>
    <w:rsid w:val="00994FDA"/>
    <w:rsid w:val="00995332"/>
    <w:rsid w:val="009955B6"/>
    <w:rsid w:val="009A14D2"/>
    <w:rsid w:val="009A2B34"/>
    <w:rsid w:val="009A7343"/>
    <w:rsid w:val="009B094A"/>
    <w:rsid w:val="009B6DDE"/>
    <w:rsid w:val="009C0792"/>
    <w:rsid w:val="009C16CD"/>
    <w:rsid w:val="009C353B"/>
    <w:rsid w:val="009C4CA0"/>
    <w:rsid w:val="009C6A5A"/>
    <w:rsid w:val="009C7DFB"/>
    <w:rsid w:val="009C7FBB"/>
    <w:rsid w:val="009D7CEF"/>
    <w:rsid w:val="009E082D"/>
    <w:rsid w:val="009E1178"/>
    <w:rsid w:val="009E1917"/>
    <w:rsid w:val="009E39B4"/>
    <w:rsid w:val="009E4572"/>
    <w:rsid w:val="009E4C0A"/>
    <w:rsid w:val="009E5618"/>
    <w:rsid w:val="009E5910"/>
    <w:rsid w:val="009F2781"/>
    <w:rsid w:val="009F2DDF"/>
    <w:rsid w:val="009F5CC0"/>
    <w:rsid w:val="00A0621F"/>
    <w:rsid w:val="00A107BC"/>
    <w:rsid w:val="00A10DBD"/>
    <w:rsid w:val="00A10EBE"/>
    <w:rsid w:val="00A1159C"/>
    <w:rsid w:val="00A12DE0"/>
    <w:rsid w:val="00A14305"/>
    <w:rsid w:val="00A15243"/>
    <w:rsid w:val="00A15DFE"/>
    <w:rsid w:val="00A169CF"/>
    <w:rsid w:val="00A211DD"/>
    <w:rsid w:val="00A22469"/>
    <w:rsid w:val="00A239E2"/>
    <w:rsid w:val="00A24F8B"/>
    <w:rsid w:val="00A262F9"/>
    <w:rsid w:val="00A26992"/>
    <w:rsid w:val="00A3098D"/>
    <w:rsid w:val="00A31F05"/>
    <w:rsid w:val="00A32EE4"/>
    <w:rsid w:val="00A35BF2"/>
    <w:rsid w:val="00A36A11"/>
    <w:rsid w:val="00A40681"/>
    <w:rsid w:val="00A41931"/>
    <w:rsid w:val="00A4198C"/>
    <w:rsid w:val="00A44416"/>
    <w:rsid w:val="00A46E39"/>
    <w:rsid w:val="00A50919"/>
    <w:rsid w:val="00A51171"/>
    <w:rsid w:val="00A51837"/>
    <w:rsid w:val="00A51FEB"/>
    <w:rsid w:val="00A53E27"/>
    <w:rsid w:val="00A551F1"/>
    <w:rsid w:val="00A55D34"/>
    <w:rsid w:val="00A56710"/>
    <w:rsid w:val="00A5762E"/>
    <w:rsid w:val="00A57CA5"/>
    <w:rsid w:val="00A61783"/>
    <w:rsid w:val="00A62515"/>
    <w:rsid w:val="00A72196"/>
    <w:rsid w:val="00A737DC"/>
    <w:rsid w:val="00A7407A"/>
    <w:rsid w:val="00A75B3E"/>
    <w:rsid w:val="00A772D5"/>
    <w:rsid w:val="00A77681"/>
    <w:rsid w:val="00A8024A"/>
    <w:rsid w:val="00A83870"/>
    <w:rsid w:val="00A87273"/>
    <w:rsid w:val="00A9432B"/>
    <w:rsid w:val="00A96AC9"/>
    <w:rsid w:val="00A972F2"/>
    <w:rsid w:val="00AA1E3E"/>
    <w:rsid w:val="00AA2620"/>
    <w:rsid w:val="00AA2985"/>
    <w:rsid w:val="00AA301B"/>
    <w:rsid w:val="00AA352B"/>
    <w:rsid w:val="00AA76B7"/>
    <w:rsid w:val="00AB10BA"/>
    <w:rsid w:val="00AB1C22"/>
    <w:rsid w:val="00AB71FC"/>
    <w:rsid w:val="00AC4511"/>
    <w:rsid w:val="00AC713D"/>
    <w:rsid w:val="00AD2BBC"/>
    <w:rsid w:val="00AD51D5"/>
    <w:rsid w:val="00AD5C58"/>
    <w:rsid w:val="00AD5DCB"/>
    <w:rsid w:val="00AD6AD8"/>
    <w:rsid w:val="00AD6F00"/>
    <w:rsid w:val="00AD75B0"/>
    <w:rsid w:val="00AE1334"/>
    <w:rsid w:val="00AE5D1C"/>
    <w:rsid w:val="00AE5D88"/>
    <w:rsid w:val="00AF1DC3"/>
    <w:rsid w:val="00AF40F2"/>
    <w:rsid w:val="00B00DF0"/>
    <w:rsid w:val="00B023CA"/>
    <w:rsid w:val="00B025C1"/>
    <w:rsid w:val="00B046AA"/>
    <w:rsid w:val="00B0497F"/>
    <w:rsid w:val="00B04CFC"/>
    <w:rsid w:val="00B06497"/>
    <w:rsid w:val="00B123AD"/>
    <w:rsid w:val="00B131DF"/>
    <w:rsid w:val="00B13201"/>
    <w:rsid w:val="00B20722"/>
    <w:rsid w:val="00B2435E"/>
    <w:rsid w:val="00B25EDB"/>
    <w:rsid w:val="00B26779"/>
    <w:rsid w:val="00B30324"/>
    <w:rsid w:val="00B32CA6"/>
    <w:rsid w:val="00B34201"/>
    <w:rsid w:val="00B352F1"/>
    <w:rsid w:val="00B408D4"/>
    <w:rsid w:val="00B415D2"/>
    <w:rsid w:val="00B41900"/>
    <w:rsid w:val="00B41FEF"/>
    <w:rsid w:val="00B42395"/>
    <w:rsid w:val="00B472AC"/>
    <w:rsid w:val="00B50D41"/>
    <w:rsid w:val="00B533D8"/>
    <w:rsid w:val="00B56FFB"/>
    <w:rsid w:val="00B61F17"/>
    <w:rsid w:val="00B620B4"/>
    <w:rsid w:val="00B62107"/>
    <w:rsid w:val="00B629AA"/>
    <w:rsid w:val="00B64C50"/>
    <w:rsid w:val="00B7021F"/>
    <w:rsid w:val="00B71C5E"/>
    <w:rsid w:val="00B750E9"/>
    <w:rsid w:val="00B757DA"/>
    <w:rsid w:val="00B85F3A"/>
    <w:rsid w:val="00B9092D"/>
    <w:rsid w:val="00B9097E"/>
    <w:rsid w:val="00B9099B"/>
    <w:rsid w:val="00B94772"/>
    <w:rsid w:val="00B96BF6"/>
    <w:rsid w:val="00BA1A69"/>
    <w:rsid w:val="00BA4919"/>
    <w:rsid w:val="00BA5AA4"/>
    <w:rsid w:val="00BA6A60"/>
    <w:rsid w:val="00BB250B"/>
    <w:rsid w:val="00BB27C8"/>
    <w:rsid w:val="00BB2B07"/>
    <w:rsid w:val="00BB3879"/>
    <w:rsid w:val="00BB471A"/>
    <w:rsid w:val="00BB481E"/>
    <w:rsid w:val="00BB5724"/>
    <w:rsid w:val="00BB72DC"/>
    <w:rsid w:val="00BB77FE"/>
    <w:rsid w:val="00BC0548"/>
    <w:rsid w:val="00BC08CB"/>
    <w:rsid w:val="00BC0E35"/>
    <w:rsid w:val="00BC2CBB"/>
    <w:rsid w:val="00BC5E63"/>
    <w:rsid w:val="00BC78C1"/>
    <w:rsid w:val="00BD732A"/>
    <w:rsid w:val="00BE1156"/>
    <w:rsid w:val="00BE286A"/>
    <w:rsid w:val="00BE316E"/>
    <w:rsid w:val="00BE3D0D"/>
    <w:rsid w:val="00BE75B6"/>
    <w:rsid w:val="00BE7B14"/>
    <w:rsid w:val="00BF39C4"/>
    <w:rsid w:val="00C006E3"/>
    <w:rsid w:val="00C064AC"/>
    <w:rsid w:val="00C105C6"/>
    <w:rsid w:val="00C11787"/>
    <w:rsid w:val="00C11E5C"/>
    <w:rsid w:val="00C12D62"/>
    <w:rsid w:val="00C13CC7"/>
    <w:rsid w:val="00C15FEB"/>
    <w:rsid w:val="00C164F3"/>
    <w:rsid w:val="00C16CED"/>
    <w:rsid w:val="00C2091F"/>
    <w:rsid w:val="00C21C73"/>
    <w:rsid w:val="00C2336D"/>
    <w:rsid w:val="00C274F5"/>
    <w:rsid w:val="00C3037E"/>
    <w:rsid w:val="00C31AFA"/>
    <w:rsid w:val="00C31FE4"/>
    <w:rsid w:val="00C3319D"/>
    <w:rsid w:val="00C34EA4"/>
    <w:rsid w:val="00C35959"/>
    <w:rsid w:val="00C35EFE"/>
    <w:rsid w:val="00C35F49"/>
    <w:rsid w:val="00C36387"/>
    <w:rsid w:val="00C37125"/>
    <w:rsid w:val="00C4167A"/>
    <w:rsid w:val="00C426F6"/>
    <w:rsid w:val="00C42747"/>
    <w:rsid w:val="00C437C1"/>
    <w:rsid w:val="00C44C70"/>
    <w:rsid w:val="00C457C8"/>
    <w:rsid w:val="00C46117"/>
    <w:rsid w:val="00C467BB"/>
    <w:rsid w:val="00C46B04"/>
    <w:rsid w:val="00C50137"/>
    <w:rsid w:val="00C505CA"/>
    <w:rsid w:val="00C53353"/>
    <w:rsid w:val="00C55398"/>
    <w:rsid w:val="00C55A31"/>
    <w:rsid w:val="00C55F75"/>
    <w:rsid w:val="00C639EF"/>
    <w:rsid w:val="00C642FF"/>
    <w:rsid w:val="00C6670B"/>
    <w:rsid w:val="00C678DB"/>
    <w:rsid w:val="00C72A6F"/>
    <w:rsid w:val="00C74FA4"/>
    <w:rsid w:val="00C76E03"/>
    <w:rsid w:val="00C80414"/>
    <w:rsid w:val="00C826D8"/>
    <w:rsid w:val="00C83480"/>
    <w:rsid w:val="00C85391"/>
    <w:rsid w:val="00C85636"/>
    <w:rsid w:val="00C867AE"/>
    <w:rsid w:val="00C91196"/>
    <w:rsid w:val="00C915CE"/>
    <w:rsid w:val="00C938D6"/>
    <w:rsid w:val="00C97642"/>
    <w:rsid w:val="00CA5A9E"/>
    <w:rsid w:val="00CA5BCD"/>
    <w:rsid w:val="00CA6669"/>
    <w:rsid w:val="00CA791E"/>
    <w:rsid w:val="00CB0320"/>
    <w:rsid w:val="00CB1558"/>
    <w:rsid w:val="00CB2D29"/>
    <w:rsid w:val="00CB3BE3"/>
    <w:rsid w:val="00CB5BCD"/>
    <w:rsid w:val="00CB5E28"/>
    <w:rsid w:val="00CB6632"/>
    <w:rsid w:val="00CC332C"/>
    <w:rsid w:val="00CC36F7"/>
    <w:rsid w:val="00CC49AB"/>
    <w:rsid w:val="00CC57D7"/>
    <w:rsid w:val="00CC68B5"/>
    <w:rsid w:val="00CD10AA"/>
    <w:rsid w:val="00CD1CCE"/>
    <w:rsid w:val="00CD3BA8"/>
    <w:rsid w:val="00CD4938"/>
    <w:rsid w:val="00CD59EE"/>
    <w:rsid w:val="00CE1074"/>
    <w:rsid w:val="00CE1A5C"/>
    <w:rsid w:val="00CE1ED5"/>
    <w:rsid w:val="00CE2BF2"/>
    <w:rsid w:val="00CE554F"/>
    <w:rsid w:val="00CE7F8C"/>
    <w:rsid w:val="00CF1FB0"/>
    <w:rsid w:val="00CF2170"/>
    <w:rsid w:val="00CF36C8"/>
    <w:rsid w:val="00CF645B"/>
    <w:rsid w:val="00D005DE"/>
    <w:rsid w:val="00D02B75"/>
    <w:rsid w:val="00D0664A"/>
    <w:rsid w:val="00D06ECA"/>
    <w:rsid w:val="00D070A5"/>
    <w:rsid w:val="00D07212"/>
    <w:rsid w:val="00D07BA9"/>
    <w:rsid w:val="00D105EF"/>
    <w:rsid w:val="00D10AB0"/>
    <w:rsid w:val="00D1114D"/>
    <w:rsid w:val="00D116B2"/>
    <w:rsid w:val="00D12895"/>
    <w:rsid w:val="00D12DC3"/>
    <w:rsid w:val="00D13EBF"/>
    <w:rsid w:val="00D14D26"/>
    <w:rsid w:val="00D15040"/>
    <w:rsid w:val="00D2268F"/>
    <w:rsid w:val="00D22C4B"/>
    <w:rsid w:val="00D248E0"/>
    <w:rsid w:val="00D24E71"/>
    <w:rsid w:val="00D27A97"/>
    <w:rsid w:val="00D31CD3"/>
    <w:rsid w:val="00D31E06"/>
    <w:rsid w:val="00D32C05"/>
    <w:rsid w:val="00D34C9E"/>
    <w:rsid w:val="00D358AD"/>
    <w:rsid w:val="00D42618"/>
    <w:rsid w:val="00D43907"/>
    <w:rsid w:val="00D44FB9"/>
    <w:rsid w:val="00D469F3"/>
    <w:rsid w:val="00D51FA7"/>
    <w:rsid w:val="00D52E25"/>
    <w:rsid w:val="00D560C5"/>
    <w:rsid w:val="00D568D0"/>
    <w:rsid w:val="00D649BE"/>
    <w:rsid w:val="00D651FA"/>
    <w:rsid w:val="00D6728F"/>
    <w:rsid w:val="00D7018E"/>
    <w:rsid w:val="00D70B75"/>
    <w:rsid w:val="00D70F31"/>
    <w:rsid w:val="00D711DF"/>
    <w:rsid w:val="00D74FEE"/>
    <w:rsid w:val="00D752EF"/>
    <w:rsid w:val="00D7543E"/>
    <w:rsid w:val="00D75D16"/>
    <w:rsid w:val="00D82A86"/>
    <w:rsid w:val="00D8521F"/>
    <w:rsid w:val="00D85329"/>
    <w:rsid w:val="00D85FE8"/>
    <w:rsid w:val="00D951CC"/>
    <w:rsid w:val="00D9561C"/>
    <w:rsid w:val="00D95F16"/>
    <w:rsid w:val="00DA1CA1"/>
    <w:rsid w:val="00DA5555"/>
    <w:rsid w:val="00DB28AE"/>
    <w:rsid w:val="00DB5537"/>
    <w:rsid w:val="00DB6705"/>
    <w:rsid w:val="00DC0E2B"/>
    <w:rsid w:val="00DC12C0"/>
    <w:rsid w:val="00DC189B"/>
    <w:rsid w:val="00DC1DD4"/>
    <w:rsid w:val="00DC2171"/>
    <w:rsid w:val="00DC64FE"/>
    <w:rsid w:val="00DC7EE3"/>
    <w:rsid w:val="00DE25A3"/>
    <w:rsid w:val="00DE27DA"/>
    <w:rsid w:val="00DE49E1"/>
    <w:rsid w:val="00DE525D"/>
    <w:rsid w:val="00DE57AA"/>
    <w:rsid w:val="00DE5A59"/>
    <w:rsid w:val="00DF01E4"/>
    <w:rsid w:val="00DF0E16"/>
    <w:rsid w:val="00DF4769"/>
    <w:rsid w:val="00DF6169"/>
    <w:rsid w:val="00E03F2B"/>
    <w:rsid w:val="00E07409"/>
    <w:rsid w:val="00E12996"/>
    <w:rsid w:val="00E129DF"/>
    <w:rsid w:val="00E1709C"/>
    <w:rsid w:val="00E2173B"/>
    <w:rsid w:val="00E231C3"/>
    <w:rsid w:val="00E2767B"/>
    <w:rsid w:val="00E278FE"/>
    <w:rsid w:val="00E302CF"/>
    <w:rsid w:val="00E35296"/>
    <w:rsid w:val="00E35519"/>
    <w:rsid w:val="00E36EC1"/>
    <w:rsid w:val="00E40302"/>
    <w:rsid w:val="00E412BC"/>
    <w:rsid w:val="00E417B9"/>
    <w:rsid w:val="00E438A6"/>
    <w:rsid w:val="00E43D44"/>
    <w:rsid w:val="00E505B0"/>
    <w:rsid w:val="00E508FB"/>
    <w:rsid w:val="00E50A73"/>
    <w:rsid w:val="00E5119E"/>
    <w:rsid w:val="00E576FE"/>
    <w:rsid w:val="00E60415"/>
    <w:rsid w:val="00E61FF6"/>
    <w:rsid w:val="00E64D2A"/>
    <w:rsid w:val="00E655BA"/>
    <w:rsid w:val="00E66778"/>
    <w:rsid w:val="00E72870"/>
    <w:rsid w:val="00E7342D"/>
    <w:rsid w:val="00E802ED"/>
    <w:rsid w:val="00E806A6"/>
    <w:rsid w:val="00E8244E"/>
    <w:rsid w:val="00E8560D"/>
    <w:rsid w:val="00E85FC4"/>
    <w:rsid w:val="00E94151"/>
    <w:rsid w:val="00E94F52"/>
    <w:rsid w:val="00EA186A"/>
    <w:rsid w:val="00EA18B8"/>
    <w:rsid w:val="00EA2EC6"/>
    <w:rsid w:val="00EA348D"/>
    <w:rsid w:val="00EA6286"/>
    <w:rsid w:val="00EA6EBD"/>
    <w:rsid w:val="00EB104C"/>
    <w:rsid w:val="00EB17BD"/>
    <w:rsid w:val="00EB3F5A"/>
    <w:rsid w:val="00EB48EE"/>
    <w:rsid w:val="00EC0C7B"/>
    <w:rsid w:val="00EC55B4"/>
    <w:rsid w:val="00EC5E63"/>
    <w:rsid w:val="00EC7E27"/>
    <w:rsid w:val="00ED1AC9"/>
    <w:rsid w:val="00ED50B8"/>
    <w:rsid w:val="00ED675C"/>
    <w:rsid w:val="00ED7DCD"/>
    <w:rsid w:val="00EE001B"/>
    <w:rsid w:val="00EE5719"/>
    <w:rsid w:val="00EE6058"/>
    <w:rsid w:val="00EE7313"/>
    <w:rsid w:val="00EF095B"/>
    <w:rsid w:val="00EF158D"/>
    <w:rsid w:val="00EF386D"/>
    <w:rsid w:val="00EF4B30"/>
    <w:rsid w:val="00EF7192"/>
    <w:rsid w:val="00F037FE"/>
    <w:rsid w:val="00F04332"/>
    <w:rsid w:val="00F079CB"/>
    <w:rsid w:val="00F1096C"/>
    <w:rsid w:val="00F1168B"/>
    <w:rsid w:val="00F11E38"/>
    <w:rsid w:val="00F12825"/>
    <w:rsid w:val="00F14485"/>
    <w:rsid w:val="00F16869"/>
    <w:rsid w:val="00F17B8E"/>
    <w:rsid w:val="00F21BD0"/>
    <w:rsid w:val="00F22738"/>
    <w:rsid w:val="00F26AB4"/>
    <w:rsid w:val="00F32278"/>
    <w:rsid w:val="00F32906"/>
    <w:rsid w:val="00F4160B"/>
    <w:rsid w:val="00F41F1C"/>
    <w:rsid w:val="00F43C12"/>
    <w:rsid w:val="00F46037"/>
    <w:rsid w:val="00F46AEE"/>
    <w:rsid w:val="00F50F32"/>
    <w:rsid w:val="00F524FD"/>
    <w:rsid w:val="00F5296F"/>
    <w:rsid w:val="00F52D13"/>
    <w:rsid w:val="00F530BC"/>
    <w:rsid w:val="00F60207"/>
    <w:rsid w:val="00F62920"/>
    <w:rsid w:val="00F62F3F"/>
    <w:rsid w:val="00F813C5"/>
    <w:rsid w:val="00F83C64"/>
    <w:rsid w:val="00F94E08"/>
    <w:rsid w:val="00F951AE"/>
    <w:rsid w:val="00F95510"/>
    <w:rsid w:val="00F966CE"/>
    <w:rsid w:val="00F97EE4"/>
    <w:rsid w:val="00FA03DB"/>
    <w:rsid w:val="00FA13B6"/>
    <w:rsid w:val="00FA1A2F"/>
    <w:rsid w:val="00FA4218"/>
    <w:rsid w:val="00FA44A6"/>
    <w:rsid w:val="00FA65A9"/>
    <w:rsid w:val="00FA68B5"/>
    <w:rsid w:val="00FB2954"/>
    <w:rsid w:val="00FB4CDC"/>
    <w:rsid w:val="00FB5175"/>
    <w:rsid w:val="00FB5A77"/>
    <w:rsid w:val="00FB7A09"/>
    <w:rsid w:val="00FC4BC4"/>
    <w:rsid w:val="00FC4D84"/>
    <w:rsid w:val="00FC6AC0"/>
    <w:rsid w:val="00FC7F3E"/>
    <w:rsid w:val="00FD77C5"/>
    <w:rsid w:val="00FE031D"/>
    <w:rsid w:val="00FE0D17"/>
    <w:rsid w:val="00FE172D"/>
    <w:rsid w:val="00FE22E0"/>
    <w:rsid w:val="00FE7F34"/>
    <w:rsid w:val="00FF26ED"/>
    <w:rsid w:val="00FF5A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6D242"/>
  <w15:chartTrackingRefBased/>
  <w15:docId w15:val="{0D90846B-BCC7-4D80-A4A6-FADEC43E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DA5555"/>
    <w:pPr>
      <w:numPr>
        <w:numId w:val="4"/>
      </w:numPr>
      <w:spacing w:before="240" w:after="240"/>
      <w:ind w:left="714" w:hanging="357"/>
      <w:contextualSpacing w:val="0"/>
      <w:jc w:val="both"/>
      <w:outlineLvl w:val="0"/>
    </w:pPr>
    <w:rPr>
      <w:rFonts w:ascii="Verdana" w:hAnsi="Verdana"/>
      <w:b/>
      <w:bCs/>
      <w:sz w:val="20"/>
      <w:szCs w:val="20"/>
    </w:rPr>
  </w:style>
  <w:style w:type="paragraph" w:styleId="Ttulo2">
    <w:name w:val="heading 2"/>
    <w:basedOn w:val="Prrafodelista"/>
    <w:next w:val="Normal"/>
    <w:link w:val="Ttulo2Car"/>
    <w:uiPriority w:val="9"/>
    <w:unhideWhenUsed/>
    <w:qFormat/>
    <w:rsid w:val="00DA5555"/>
    <w:pPr>
      <w:numPr>
        <w:ilvl w:val="1"/>
        <w:numId w:val="8"/>
      </w:numPr>
      <w:autoSpaceDE w:val="0"/>
      <w:autoSpaceDN w:val="0"/>
      <w:adjustRightInd w:val="0"/>
      <w:spacing w:before="240" w:after="240" w:line="276" w:lineRule="auto"/>
      <w:contextualSpacing w:val="0"/>
      <w:jc w:val="both"/>
      <w:outlineLvl w:val="1"/>
    </w:pPr>
    <w:rPr>
      <w:rFonts w:ascii="Verdana" w:hAnsi="Verdana"/>
      <w:b/>
      <w:bCs/>
      <w:i/>
      <w:iCs/>
      <w:sz w:val="20"/>
      <w:szCs w:val="20"/>
      <w:lang w:val="es-ES"/>
    </w:rPr>
  </w:style>
  <w:style w:type="paragraph" w:styleId="Ttulo3">
    <w:name w:val="heading 3"/>
    <w:basedOn w:val="Normal"/>
    <w:next w:val="Normal"/>
    <w:link w:val="Ttulo3Car"/>
    <w:uiPriority w:val="9"/>
    <w:semiHidden/>
    <w:unhideWhenUsed/>
    <w:qFormat/>
    <w:rsid w:val="00A57C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7C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7C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7C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7C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7C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7C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5555"/>
    <w:rPr>
      <w:rFonts w:ascii="Verdana" w:hAnsi="Verdana"/>
      <w:b/>
      <w:bCs/>
      <w:sz w:val="20"/>
      <w:szCs w:val="20"/>
    </w:rPr>
  </w:style>
  <w:style w:type="character" w:customStyle="1" w:styleId="Ttulo2Car">
    <w:name w:val="Título 2 Car"/>
    <w:basedOn w:val="Fuentedeprrafopredeter"/>
    <w:link w:val="Ttulo2"/>
    <w:uiPriority w:val="9"/>
    <w:rsid w:val="00DA5555"/>
    <w:rPr>
      <w:rFonts w:ascii="Verdana" w:hAnsi="Verdana"/>
      <w:b/>
      <w:bCs/>
      <w:i/>
      <w:iCs/>
      <w:sz w:val="20"/>
      <w:szCs w:val="20"/>
      <w:lang w:val="es-ES"/>
    </w:rPr>
  </w:style>
  <w:style w:type="character" w:customStyle="1" w:styleId="Ttulo3Car">
    <w:name w:val="Título 3 Car"/>
    <w:basedOn w:val="Fuentedeprrafopredeter"/>
    <w:link w:val="Ttulo3"/>
    <w:uiPriority w:val="9"/>
    <w:semiHidden/>
    <w:rsid w:val="00A57C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7C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7C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7C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7C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7C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7CA5"/>
    <w:rPr>
      <w:rFonts w:eastAsiaTheme="majorEastAsia" w:cstheme="majorBidi"/>
      <w:color w:val="272727" w:themeColor="text1" w:themeTint="D8"/>
    </w:rPr>
  </w:style>
  <w:style w:type="paragraph" w:styleId="Ttulo">
    <w:name w:val="Title"/>
    <w:basedOn w:val="Normal"/>
    <w:next w:val="Normal"/>
    <w:link w:val="TtuloCar"/>
    <w:uiPriority w:val="10"/>
    <w:qFormat/>
    <w:rsid w:val="00A57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7C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7C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7C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7CA5"/>
    <w:pPr>
      <w:spacing w:before="160"/>
      <w:jc w:val="center"/>
    </w:pPr>
    <w:rPr>
      <w:i/>
      <w:iCs/>
      <w:color w:val="404040" w:themeColor="text1" w:themeTint="BF"/>
    </w:rPr>
  </w:style>
  <w:style w:type="character" w:customStyle="1" w:styleId="CitaCar">
    <w:name w:val="Cita Car"/>
    <w:basedOn w:val="Fuentedeprrafopredeter"/>
    <w:link w:val="Cita"/>
    <w:uiPriority w:val="29"/>
    <w:rsid w:val="00A57CA5"/>
    <w:rPr>
      <w:i/>
      <w:iCs/>
      <w:color w:val="404040" w:themeColor="text1" w:themeTint="BF"/>
    </w:rPr>
  </w:style>
  <w:style w:type="paragraph" w:styleId="Prrafodelista">
    <w:name w:val="List Paragraph"/>
    <w:aliases w:val="Colorful List - Accent 11,Lista vistosa - Énfasis 11,Footnote,List Paragraph1,Párrafo de lista1,List Paragraph2,Subtle Emphasis1,Footnote1,List Paragraph11,Parrafos"/>
    <w:basedOn w:val="Normal"/>
    <w:link w:val="PrrafodelistaCar"/>
    <w:qFormat/>
    <w:rsid w:val="00A57CA5"/>
    <w:pPr>
      <w:ind w:left="720"/>
      <w:contextualSpacing/>
    </w:pPr>
  </w:style>
  <w:style w:type="character" w:styleId="nfasisintenso">
    <w:name w:val="Intense Emphasis"/>
    <w:basedOn w:val="Fuentedeprrafopredeter"/>
    <w:uiPriority w:val="21"/>
    <w:qFormat/>
    <w:rsid w:val="00A57CA5"/>
    <w:rPr>
      <w:i/>
      <w:iCs/>
      <w:color w:val="0F4761" w:themeColor="accent1" w:themeShade="BF"/>
    </w:rPr>
  </w:style>
  <w:style w:type="paragraph" w:styleId="Citadestacada">
    <w:name w:val="Intense Quote"/>
    <w:basedOn w:val="Normal"/>
    <w:next w:val="Normal"/>
    <w:link w:val="CitadestacadaCar"/>
    <w:uiPriority w:val="30"/>
    <w:qFormat/>
    <w:rsid w:val="00A57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7CA5"/>
    <w:rPr>
      <w:i/>
      <w:iCs/>
      <w:color w:val="0F4761" w:themeColor="accent1" w:themeShade="BF"/>
    </w:rPr>
  </w:style>
  <w:style w:type="character" w:styleId="Referenciaintensa">
    <w:name w:val="Intense Reference"/>
    <w:basedOn w:val="Fuentedeprrafopredeter"/>
    <w:uiPriority w:val="32"/>
    <w:qFormat/>
    <w:rsid w:val="00A57CA5"/>
    <w:rPr>
      <w:b/>
      <w:bCs/>
      <w:smallCaps/>
      <w:color w:val="0F4761" w:themeColor="accent1" w:themeShade="BF"/>
      <w:spacing w:val="5"/>
    </w:rPr>
  </w:style>
  <w:style w:type="paragraph" w:styleId="Textonotapie">
    <w:name w:val="footnote text"/>
    <w:aliases w:val="FA Fu,Footnote Text Char Char Char Char Char,Footnote Text Char Char Char Char,Footnote reference,Footnote Text Char Char Char,FA Fu Car,FA Fu Car Car,Footnote Text Cha,FA Fußnotentext,FA Fuﬂnotentext,FA Fu?notentext,Ca,FA Fu?notente,C,ft"/>
    <w:basedOn w:val="Normal"/>
    <w:link w:val="TextonotapieCar"/>
    <w:uiPriority w:val="99"/>
    <w:unhideWhenUsed/>
    <w:qFormat/>
    <w:rsid w:val="00652EA6"/>
    <w:pPr>
      <w:spacing w:after="0" w:line="240" w:lineRule="auto"/>
    </w:pPr>
    <w:rPr>
      <w:kern w:val="0"/>
      <w:sz w:val="20"/>
      <w:szCs w:val="20"/>
      <w:lang w:val="es-CO"/>
      <w14:ligatures w14:val="none"/>
    </w:rPr>
  </w:style>
  <w:style w:type="character" w:customStyle="1" w:styleId="TextonotapieCar">
    <w:name w:val="Texto nota pie Car"/>
    <w:aliases w:val="FA Fu Car1,Footnote Text Char Char Char Char Char Car,Footnote Text Char Char Char Char Car,Footnote reference Car,Footnote Text Char Char Char Car,FA Fu Car Car1,FA Fu Car Car Car,Footnote Text Cha Car,FA Fußnotentext Car,Ca Car"/>
    <w:basedOn w:val="Fuentedeprrafopredeter"/>
    <w:link w:val="Textonotapie"/>
    <w:uiPriority w:val="99"/>
    <w:qFormat/>
    <w:rsid w:val="00652EA6"/>
    <w:rPr>
      <w:kern w:val="0"/>
      <w:sz w:val="20"/>
      <w:szCs w:val="20"/>
      <w:lang w:val="es-CO"/>
      <w14:ligatures w14:val="none"/>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link w:val="4GChar"/>
    <w:uiPriority w:val="99"/>
    <w:unhideWhenUsed/>
    <w:qFormat/>
    <w:rsid w:val="00652EA6"/>
    <w:rPr>
      <w:vertAlign w:val="superscript"/>
    </w:rPr>
  </w:style>
  <w:style w:type="character" w:customStyle="1" w:styleId="PrrafodelistaCar">
    <w:name w:val="Párrafo de lista Car"/>
    <w:aliases w:val="Colorful List - Accent 11 Car,Lista vistosa - Énfasis 11 Car,Footnote Car,List Paragraph1 Car,Párrafo de lista1 Car,List Paragraph2 Car,Subtle Emphasis1 Car,Footnote1 Car,List Paragraph11 Car,Parrafos Car"/>
    <w:basedOn w:val="Fuentedeprrafopredeter"/>
    <w:link w:val="Prrafodelista"/>
    <w:locked/>
    <w:rsid w:val="00652EA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52EA6"/>
    <w:pPr>
      <w:spacing w:after="0" w:line="240" w:lineRule="auto"/>
      <w:jc w:val="both"/>
    </w:pPr>
    <w:rPr>
      <w:vertAlign w:val="superscript"/>
    </w:rPr>
  </w:style>
  <w:style w:type="paragraph" w:styleId="Encabezado">
    <w:name w:val="header"/>
    <w:basedOn w:val="Normal"/>
    <w:link w:val="EncabezadoCar"/>
    <w:uiPriority w:val="99"/>
    <w:semiHidden/>
    <w:unhideWhenUsed/>
    <w:rsid w:val="002B0B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B0B6B"/>
  </w:style>
  <w:style w:type="paragraph" w:styleId="Piedepgina">
    <w:name w:val="footer"/>
    <w:basedOn w:val="Normal"/>
    <w:link w:val="PiedepginaCar"/>
    <w:uiPriority w:val="99"/>
    <w:unhideWhenUsed/>
    <w:rsid w:val="002B0B6B"/>
    <w:pPr>
      <w:tabs>
        <w:tab w:val="center" w:pos="4419"/>
        <w:tab w:val="right" w:pos="8838"/>
      </w:tabs>
      <w:spacing w:after="0" w:line="240" w:lineRule="auto"/>
      <w:jc w:val="both"/>
    </w:pPr>
    <w:rPr>
      <w:rFonts w:ascii="Verdana" w:eastAsia="Times New Roman" w:hAnsi="Verdana" w:cs="Times New Roman"/>
      <w:kern w:val="0"/>
      <w:sz w:val="20"/>
      <w:lang w:val="en-US"/>
      <w14:ligatures w14:val="none"/>
    </w:rPr>
  </w:style>
  <w:style w:type="character" w:customStyle="1" w:styleId="PiedepginaCar">
    <w:name w:val="Pie de página Car"/>
    <w:basedOn w:val="Fuentedeprrafopredeter"/>
    <w:link w:val="Piedepgina"/>
    <w:uiPriority w:val="99"/>
    <w:rsid w:val="002B0B6B"/>
    <w:rPr>
      <w:rFonts w:ascii="Verdana" w:eastAsia="Times New Roman" w:hAnsi="Verdana" w:cs="Times New Roman"/>
      <w:kern w:val="0"/>
      <w:sz w:val="20"/>
      <w:lang w:val="en-US"/>
      <w14:ligatures w14:val="none"/>
    </w:rPr>
  </w:style>
  <w:style w:type="paragraph" w:customStyle="1" w:styleId="PrrafodeSentencia">
    <w:name w:val="*. Párrafo de Sentencia"/>
    <w:basedOn w:val="Normal"/>
    <w:next w:val="Normal"/>
    <w:link w:val="PrrafodeSentenciaChar"/>
    <w:qFormat/>
    <w:rsid w:val="00D06ECA"/>
    <w:pPr>
      <w:numPr>
        <w:numId w:val="7"/>
      </w:numPr>
      <w:tabs>
        <w:tab w:val="left" w:pos="567"/>
      </w:tabs>
      <w:spacing w:before="240" w:after="240" w:line="240" w:lineRule="auto"/>
      <w:ind w:left="0" w:firstLine="0"/>
      <w:jc w:val="both"/>
    </w:pPr>
    <w:rPr>
      <w:rFonts w:ascii="Verdana" w:eastAsia="Batang" w:hAnsi="Verdana"/>
      <w:spacing w:val="-4"/>
      <w:kern w:val="0"/>
      <w:sz w:val="20"/>
      <w:szCs w:val="22"/>
      <w:lang w:eastAsia="es-MX"/>
      <w14:ligatures w14:val="none"/>
    </w:rPr>
  </w:style>
  <w:style w:type="character" w:customStyle="1" w:styleId="PrrafodeSentenciaChar">
    <w:name w:val="*. Párrafo de Sentencia Char"/>
    <w:link w:val="PrrafodeSentencia"/>
    <w:locked/>
    <w:rsid w:val="00D06ECA"/>
    <w:rPr>
      <w:rFonts w:ascii="Verdana" w:eastAsia="Batang" w:hAnsi="Verdana"/>
      <w:spacing w:val="-4"/>
      <w:kern w:val="0"/>
      <w:sz w:val="20"/>
      <w:szCs w:val="22"/>
      <w:lang w:eastAsia="es-MX"/>
      <w14:ligatures w14:val="none"/>
    </w:rPr>
  </w:style>
  <w:style w:type="character" w:styleId="Refdecomentario">
    <w:name w:val="annotation reference"/>
    <w:basedOn w:val="Fuentedeprrafopredeter"/>
    <w:uiPriority w:val="99"/>
    <w:unhideWhenUsed/>
    <w:rsid w:val="00D06ECA"/>
    <w:rPr>
      <w:sz w:val="16"/>
      <w:szCs w:val="16"/>
    </w:rPr>
  </w:style>
  <w:style w:type="paragraph" w:styleId="Textocomentario">
    <w:name w:val="annotation text"/>
    <w:basedOn w:val="Normal"/>
    <w:link w:val="TextocomentarioCar"/>
    <w:uiPriority w:val="99"/>
    <w:unhideWhenUsed/>
    <w:rsid w:val="00D06ECA"/>
    <w:pPr>
      <w:spacing w:after="0" w:line="240" w:lineRule="auto"/>
      <w:jc w:val="both"/>
    </w:pPr>
    <w:rPr>
      <w:rFonts w:ascii="Verdana" w:eastAsia="Times New Roman" w:hAnsi="Verdana" w:cs="Times New Roman"/>
      <w:kern w:val="0"/>
      <w:sz w:val="20"/>
      <w:szCs w:val="20"/>
      <w:lang w:val="en-US"/>
      <w14:ligatures w14:val="none"/>
    </w:rPr>
  </w:style>
  <w:style w:type="character" w:customStyle="1" w:styleId="TextocomentarioCar">
    <w:name w:val="Texto comentario Car"/>
    <w:basedOn w:val="Fuentedeprrafopredeter"/>
    <w:link w:val="Textocomentario"/>
    <w:uiPriority w:val="99"/>
    <w:rsid w:val="00D06ECA"/>
    <w:rPr>
      <w:rFonts w:ascii="Verdana" w:eastAsia="Times New Roman" w:hAnsi="Verdana" w:cs="Times New Roman"/>
      <w:kern w:val="0"/>
      <w:sz w:val="20"/>
      <w:szCs w:val="20"/>
      <w:lang w:val="en-US"/>
      <w14:ligatures w14:val="non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D06ECA"/>
    <w:pPr>
      <w:spacing w:line="240" w:lineRule="exact"/>
      <w:jc w:val="both"/>
    </w:pPr>
    <w:rPr>
      <w:rFonts w:ascii="Verdana" w:hAnsi="Verdana"/>
      <w:kern w:val="0"/>
      <w:sz w:val="20"/>
      <w:szCs w:val="20"/>
      <w:vertAlign w:val="superscript"/>
      <w14:ligatures w14:val="none"/>
    </w:rPr>
  </w:style>
  <w:style w:type="paragraph" w:customStyle="1" w:styleId="Footnotes">
    <w:name w:val="**. Footnotes"/>
    <w:basedOn w:val="Textonotapie"/>
    <w:link w:val="FootnotesChar"/>
    <w:autoRedefine/>
    <w:qFormat/>
    <w:rsid w:val="00A50919"/>
    <w:pPr>
      <w:tabs>
        <w:tab w:val="left" w:pos="426"/>
      </w:tabs>
      <w:jc w:val="both"/>
    </w:pPr>
    <w:rPr>
      <w:rFonts w:ascii="Verdana" w:eastAsia="Times New Roman" w:hAnsi="Verdana" w:cs="Palatino-Italic"/>
      <w:iCs/>
      <w:spacing w:val="-4"/>
      <w:sz w:val="16"/>
      <w:szCs w:val="16"/>
      <w:lang w:val="es-ES" w:bidi="en-US"/>
    </w:rPr>
  </w:style>
  <w:style w:type="character" w:customStyle="1" w:styleId="FootnotesChar">
    <w:name w:val="**. Footnotes Char"/>
    <w:basedOn w:val="Fuentedeprrafopredeter"/>
    <w:link w:val="Footnotes"/>
    <w:rsid w:val="00A50919"/>
    <w:rPr>
      <w:rFonts w:ascii="Verdana" w:eastAsia="Times New Roman" w:hAnsi="Verdana" w:cs="Palatino-Italic"/>
      <w:iCs/>
      <w:spacing w:val="-4"/>
      <w:kern w:val="0"/>
      <w:sz w:val="16"/>
      <w:szCs w:val="16"/>
      <w:lang w:val="es-ES" w:bidi="en-US"/>
      <w14:ligatures w14:val="none"/>
    </w:rPr>
  </w:style>
  <w:style w:type="paragraph" w:styleId="Asuntodelcomentario">
    <w:name w:val="annotation subject"/>
    <w:basedOn w:val="Textocomentario"/>
    <w:next w:val="Textocomentario"/>
    <w:link w:val="AsuntodelcomentarioCar"/>
    <w:uiPriority w:val="99"/>
    <w:semiHidden/>
    <w:unhideWhenUsed/>
    <w:rsid w:val="00DF4769"/>
    <w:pPr>
      <w:spacing w:after="160"/>
      <w:jc w:val="left"/>
    </w:pPr>
    <w:rPr>
      <w:rFonts w:asciiTheme="minorHAnsi" w:eastAsiaTheme="minorHAnsi" w:hAnsiTheme="minorHAnsi" w:cstheme="minorBidi"/>
      <w:b/>
      <w:bCs/>
      <w:kern w:val="2"/>
      <w:lang w:val="es-CR"/>
      <w14:ligatures w14:val="standardContextual"/>
    </w:rPr>
  </w:style>
  <w:style w:type="character" w:customStyle="1" w:styleId="AsuntodelcomentarioCar">
    <w:name w:val="Asunto del comentario Car"/>
    <w:basedOn w:val="TextocomentarioCar"/>
    <w:link w:val="Asuntodelcomentario"/>
    <w:uiPriority w:val="99"/>
    <w:semiHidden/>
    <w:rsid w:val="00DF4769"/>
    <w:rPr>
      <w:rFonts w:ascii="Verdana" w:eastAsia="Times New Roman" w:hAnsi="Verdana" w:cs="Times New Roman"/>
      <w:b/>
      <w:bCs/>
      <w:kern w:val="0"/>
      <w:sz w:val="20"/>
      <w:szCs w:val="20"/>
      <w:lang w:val="en-US"/>
      <w14:ligatures w14:val="none"/>
    </w:rPr>
  </w:style>
  <w:style w:type="paragraph" w:styleId="Revisin">
    <w:name w:val="Revision"/>
    <w:hidden/>
    <w:uiPriority w:val="99"/>
    <w:semiHidden/>
    <w:rsid w:val="0056222E"/>
    <w:pPr>
      <w:spacing w:after="0" w:line="240" w:lineRule="auto"/>
    </w:pPr>
  </w:style>
  <w:style w:type="character" w:styleId="Hipervnculo">
    <w:name w:val="Hyperlink"/>
    <w:basedOn w:val="Fuentedeprrafopredeter"/>
    <w:uiPriority w:val="99"/>
    <w:unhideWhenUsed/>
    <w:rsid w:val="00211165"/>
    <w:rPr>
      <w:color w:val="467886" w:themeColor="hyperlink"/>
      <w:u w:val="single"/>
    </w:rPr>
  </w:style>
  <w:style w:type="character" w:styleId="Mencinsinresolver">
    <w:name w:val="Unresolved Mention"/>
    <w:basedOn w:val="Fuentedeprrafopredeter"/>
    <w:uiPriority w:val="99"/>
    <w:semiHidden/>
    <w:unhideWhenUsed/>
    <w:rsid w:val="00211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839">
      <w:bodyDiv w:val="1"/>
      <w:marLeft w:val="0"/>
      <w:marRight w:val="0"/>
      <w:marTop w:val="0"/>
      <w:marBottom w:val="0"/>
      <w:divBdr>
        <w:top w:val="none" w:sz="0" w:space="0" w:color="auto"/>
        <w:left w:val="none" w:sz="0" w:space="0" w:color="auto"/>
        <w:bottom w:val="none" w:sz="0" w:space="0" w:color="auto"/>
        <w:right w:val="none" w:sz="0" w:space="0" w:color="auto"/>
      </w:divBdr>
    </w:div>
    <w:div w:id="124396429">
      <w:bodyDiv w:val="1"/>
      <w:marLeft w:val="0"/>
      <w:marRight w:val="0"/>
      <w:marTop w:val="0"/>
      <w:marBottom w:val="0"/>
      <w:divBdr>
        <w:top w:val="none" w:sz="0" w:space="0" w:color="auto"/>
        <w:left w:val="none" w:sz="0" w:space="0" w:color="auto"/>
        <w:bottom w:val="none" w:sz="0" w:space="0" w:color="auto"/>
        <w:right w:val="none" w:sz="0" w:space="0" w:color="auto"/>
      </w:divBdr>
    </w:div>
    <w:div w:id="538667492">
      <w:bodyDiv w:val="1"/>
      <w:marLeft w:val="0"/>
      <w:marRight w:val="0"/>
      <w:marTop w:val="0"/>
      <w:marBottom w:val="0"/>
      <w:divBdr>
        <w:top w:val="none" w:sz="0" w:space="0" w:color="auto"/>
        <w:left w:val="none" w:sz="0" w:space="0" w:color="auto"/>
        <w:bottom w:val="none" w:sz="0" w:space="0" w:color="auto"/>
        <w:right w:val="none" w:sz="0" w:space="0" w:color="auto"/>
      </w:divBdr>
      <w:divsChild>
        <w:div w:id="1460369825">
          <w:marLeft w:val="0"/>
          <w:marRight w:val="0"/>
          <w:marTop w:val="0"/>
          <w:marBottom w:val="0"/>
          <w:divBdr>
            <w:top w:val="none" w:sz="0" w:space="0" w:color="auto"/>
            <w:left w:val="none" w:sz="0" w:space="0" w:color="auto"/>
            <w:bottom w:val="none" w:sz="0" w:space="0" w:color="auto"/>
            <w:right w:val="none" w:sz="0" w:space="0" w:color="auto"/>
          </w:divBdr>
        </w:div>
        <w:div w:id="1329750701">
          <w:marLeft w:val="0"/>
          <w:marRight w:val="0"/>
          <w:marTop w:val="0"/>
          <w:marBottom w:val="0"/>
          <w:divBdr>
            <w:top w:val="none" w:sz="0" w:space="0" w:color="auto"/>
            <w:left w:val="none" w:sz="0" w:space="0" w:color="auto"/>
            <w:bottom w:val="none" w:sz="0" w:space="0" w:color="auto"/>
            <w:right w:val="none" w:sz="0" w:space="0" w:color="auto"/>
          </w:divBdr>
        </w:div>
        <w:div w:id="454524393">
          <w:marLeft w:val="0"/>
          <w:marRight w:val="0"/>
          <w:marTop w:val="0"/>
          <w:marBottom w:val="0"/>
          <w:divBdr>
            <w:top w:val="none" w:sz="0" w:space="0" w:color="auto"/>
            <w:left w:val="none" w:sz="0" w:space="0" w:color="auto"/>
            <w:bottom w:val="none" w:sz="0" w:space="0" w:color="auto"/>
            <w:right w:val="none" w:sz="0" w:space="0" w:color="auto"/>
          </w:divBdr>
        </w:div>
        <w:div w:id="121701898">
          <w:marLeft w:val="0"/>
          <w:marRight w:val="0"/>
          <w:marTop w:val="0"/>
          <w:marBottom w:val="0"/>
          <w:divBdr>
            <w:top w:val="none" w:sz="0" w:space="0" w:color="auto"/>
            <w:left w:val="none" w:sz="0" w:space="0" w:color="auto"/>
            <w:bottom w:val="none" w:sz="0" w:space="0" w:color="auto"/>
            <w:right w:val="none" w:sz="0" w:space="0" w:color="auto"/>
          </w:divBdr>
        </w:div>
        <w:div w:id="967659827">
          <w:marLeft w:val="0"/>
          <w:marRight w:val="0"/>
          <w:marTop w:val="0"/>
          <w:marBottom w:val="0"/>
          <w:divBdr>
            <w:top w:val="none" w:sz="0" w:space="0" w:color="auto"/>
            <w:left w:val="none" w:sz="0" w:space="0" w:color="auto"/>
            <w:bottom w:val="none" w:sz="0" w:space="0" w:color="auto"/>
            <w:right w:val="none" w:sz="0" w:space="0" w:color="auto"/>
          </w:divBdr>
        </w:div>
        <w:div w:id="1132988050">
          <w:marLeft w:val="0"/>
          <w:marRight w:val="0"/>
          <w:marTop w:val="0"/>
          <w:marBottom w:val="0"/>
          <w:divBdr>
            <w:top w:val="none" w:sz="0" w:space="0" w:color="auto"/>
            <w:left w:val="none" w:sz="0" w:space="0" w:color="auto"/>
            <w:bottom w:val="none" w:sz="0" w:space="0" w:color="auto"/>
            <w:right w:val="none" w:sz="0" w:space="0" w:color="auto"/>
          </w:divBdr>
        </w:div>
      </w:divsChild>
    </w:div>
    <w:div w:id="690886163">
      <w:bodyDiv w:val="1"/>
      <w:marLeft w:val="0"/>
      <w:marRight w:val="0"/>
      <w:marTop w:val="0"/>
      <w:marBottom w:val="0"/>
      <w:divBdr>
        <w:top w:val="none" w:sz="0" w:space="0" w:color="auto"/>
        <w:left w:val="none" w:sz="0" w:space="0" w:color="auto"/>
        <w:bottom w:val="none" w:sz="0" w:space="0" w:color="auto"/>
        <w:right w:val="none" w:sz="0" w:space="0" w:color="auto"/>
      </w:divBdr>
      <w:divsChild>
        <w:div w:id="1733695620">
          <w:marLeft w:val="0"/>
          <w:marRight w:val="0"/>
          <w:marTop w:val="0"/>
          <w:marBottom w:val="0"/>
          <w:divBdr>
            <w:top w:val="none" w:sz="0" w:space="0" w:color="auto"/>
            <w:left w:val="none" w:sz="0" w:space="0" w:color="auto"/>
            <w:bottom w:val="none" w:sz="0" w:space="0" w:color="auto"/>
            <w:right w:val="none" w:sz="0" w:space="0" w:color="auto"/>
          </w:divBdr>
        </w:div>
        <w:div w:id="2137217275">
          <w:marLeft w:val="0"/>
          <w:marRight w:val="0"/>
          <w:marTop w:val="0"/>
          <w:marBottom w:val="0"/>
          <w:divBdr>
            <w:top w:val="none" w:sz="0" w:space="0" w:color="auto"/>
            <w:left w:val="none" w:sz="0" w:space="0" w:color="auto"/>
            <w:bottom w:val="none" w:sz="0" w:space="0" w:color="auto"/>
            <w:right w:val="none" w:sz="0" w:space="0" w:color="auto"/>
          </w:divBdr>
        </w:div>
        <w:div w:id="1080786509">
          <w:marLeft w:val="0"/>
          <w:marRight w:val="0"/>
          <w:marTop w:val="0"/>
          <w:marBottom w:val="0"/>
          <w:divBdr>
            <w:top w:val="none" w:sz="0" w:space="0" w:color="auto"/>
            <w:left w:val="none" w:sz="0" w:space="0" w:color="auto"/>
            <w:bottom w:val="none" w:sz="0" w:space="0" w:color="auto"/>
            <w:right w:val="none" w:sz="0" w:space="0" w:color="auto"/>
          </w:divBdr>
        </w:div>
        <w:div w:id="2038388998">
          <w:marLeft w:val="0"/>
          <w:marRight w:val="0"/>
          <w:marTop w:val="0"/>
          <w:marBottom w:val="0"/>
          <w:divBdr>
            <w:top w:val="none" w:sz="0" w:space="0" w:color="auto"/>
            <w:left w:val="none" w:sz="0" w:space="0" w:color="auto"/>
            <w:bottom w:val="none" w:sz="0" w:space="0" w:color="auto"/>
            <w:right w:val="none" w:sz="0" w:space="0" w:color="auto"/>
          </w:divBdr>
        </w:div>
        <w:div w:id="1693452299">
          <w:marLeft w:val="0"/>
          <w:marRight w:val="0"/>
          <w:marTop w:val="0"/>
          <w:marBottom w:val="0"/>
          <w:divBdr>
            <w:top w:val="none" w:sz="0" w:space="0" w:color="auto"/>
            <w:left w:val="none" w:sz="0" w:space="0" w:color="auto"/>
            <w:bottom w:val="none" w:sz="0" w:space="0" w:color="auto"/>
            <w:right w:val="none" w:sz="0" w:space="0" w:color="auto"/>
          </w:divBdr>
        </w:div>
        <w:div w:id="186482407">
          <w:marLeft w:val="0"/>
          <w:marRight w:val="0"/>
          <w:marTop w:val="0"/>
          <w:marBottom w:val="0"/>
          <w:divBdr>
            <w:top w:val="none" w:sz="0" w:space="0" w:color="auto"/>
            <w:left w:val="none" w:sz="0" w:space="0" w:color="auto"/>
            <w:bottom w:val="none" w:sz="0" w:space="0" w:color="auto"/>
            <w:right w:val="none" w:sz="0" w:space="0" w:color="auto"/>
          </w:divBdr>
        </w:div>
        <w:div w:id="375812177">
          <w:marLeft w:val="0"/>
          <w:marRight w:val="0"/>
          <w:marTop w:val="0"/>
          <w:marBottom w:val="0"/>
          <w:divBdr>
            <w:top w:val="none" w:sz="0" w:space="0" w:color="auto"/>
            <w:left w:val="none" w:sz="0" w:space="0" w:color="auto"/>
            <w:bottom w:val="none" w:sz="0" w:space="0" w:color="auto"/>
            <w:right w:val="none" w:sz="0" w:space="0" w:color="auto"/>
          </w:divBdr>
        </w:div>
        <w:div w:id="2145536154">
          <w:marLeft w:val="0"/>
          <w:marRight w:val="0"/>
          <w:marTop w:val="0"/>
          <w:marBottom w:val="0"/>
          <w:divBdr>
            <w:top w:val="none" w:sz="0" w:space="0" w:color="auto"/>
            <w:left w:val="none" w:sz="0" w:space="0" w:color="auto"/>
            <w:bottom w:val="none" w:sz="0" w:space="0" w:color="auto"/>
            <w:right w:val="none" w:sz="0" w:space="0" w:color="auto"/>
          </w:divBdr>
        </w:div>
        <w:div w:id="1268733209">
          <w:marLeft w:val="0"/>
          <w:marRight w:val="0"/>
          <w:marTop w:val="0"/>
          <w:marBottom w:val="0"/>
          <w:divBdr>
            <w:top w:val="none" w:sz="0" w:space="0" w:color="auto"/>
            <w:left w:val="none" w:sz="0" w:space="0" w:color="auto"/>
            <w:bottom w:val="none" w:sz="0" w:space="0" w:color="auto"/>
            <w:right w:val="none" w:sz="0" w:space="0" w:color="auto"/>
          </w:divBdr>
        </w:div>
        <w:div w:id="1277634474">
          <w:marLeft w:val="0"/>
          <w:marRight w:val="0"/>
          <w:marTop w:val="0"/>
          <w:marBottom w:val="0"/>
          <w:divBdr>
            <w:top w:val="none" w:sz="0" w:space="0" w:color="auto"/>
            <w:left w:val="none" w:sz="0" w:space="0" w:color="auto"/>
            <w:bottom w:val="none" w:sz="0" w:space="0" w:color="auto"/>
            <w:right w:val="none" w:sz="0" w:space="0" w:color="auto"/>
          </w:divBdr>
        </w:div>
        <w:div w:id="814029767">
          <w:marLeft w:val="0"/>
          <w:marRight w:val="0"/>
          <w:marTop w:val="0"/>
          <w:marBottom w:val="0"/>
          <w:divBdr>
            <w:top w:val="none" w:sz="0" w:space="0" w:color="auto"/>
            <w:left w:val="none" w:sz="0" w:space="0" w:color="auto"/>
            <w:bottom w:val="none" w:sz="0" w:space="0" w:color="auto"/>
            <w:right w:val="none" w:sz="0" w:space="0" w:color="auto"/>
          </w:divBdr>
        </w:div>
        <w:div w:id="761681099">
          <w:marLeft w:val="0"/>
          <w:marRight w:val="0"/>
          <w:marTop w:val="0"/>
          <w:marBottom w:val="0"/>
          <w:divBdr>
            <w:top w:val="none" w:sz="0" w:space="0" w:color="auto"/>
            <w:left w:val="none" w:sz="0" w:space="0" w:color="auto"/>
            <w:bottom w:val="none" w:sz="0" w:space="0" w:color="auto"/>
            <w:right w:val="none" w:sz="0" w:space="0" w:color="auto"/>
          </w:divBdr>
        </w:div>
        <w:div w:id="152336247">
          <w:marLeft w:val="0"/>
          <w:marRight w:val="0"/>
          <w:marTop w:val="0"/>
          <w:marBottom w:val="0"/>
          <w:divBdr>
            <w:top w:val="none" w:sz="0" w:space="0" w:color="auto"/>
            <w:left w:val="none" w:sz="0" w:space="0" w:color="auto"/>
            <w:bottom w:val="none" w:sz="0" w:space="0" w:color="auto"/>
            <w:right w:val="none" w:sz="0" w:space="0" w:color="auto"/>
          </w:divBdr>
        </w:div>
        <w:div w:id="1024939617">
          <w:marLeft w:val="0"/>
          <w:marRight w:val="0"/>
          <w:marTop w:val="0"/>
          <w:marBottom w:val="0"/>
          <w:divBdr>
            <w:top w:val="none" w:sz="0" w:space="0" w:color="auto"/>
            <w:left w:val="none" w:sz="0" w:space="0" w:color="auto"/>
            <w:bottom w:val="none" w:sz="0" w:space="0" w:color="auto"/>
            <w:right w:val="none" w:sz="0" w:space="0" w:color="auto"/>
          </w:divBdr>
        </w:div>
        <w:div w:id="2042851480">
          <w:marLeft w:val="0"/>
          <w:marRight w:val="0"/>
          <w:marTop w:val="0"/>
          <w:marBottom w:val="0"/>
          <w:divBdr>
            <w:top w:val="none" w:sz="0" w:space="0" w:color="auto"/>
            <w:left w:val="none" w:sz="0" w:space="0" w:color="auto"/>
            <w:bottom w:val="none" w:sz="0" w:space="0" w:color="auto"/>
            <w:right w:val="none" w:sz="0" w:space="0" w:color="auto"/>
          </w:divBdr>
        </w:div>
        <w:div w:id="754207250">
          <w:marLeft w:val="0"/>
          <w:marRight w:val="0"/>
          <w:marTop w:val="0"/>
          <w:marBottom w:val="0"/>
          <w:divBdr>
            <w:top w:val="none" w:sz="0" w:space="0" w:color="auto"/>
            <w:left w:val="none" w:sz="0" w:space="0" w:color="auto"/>
            <w:bottom w:val="none" w:sz="0" w:space="0" w:color="auto"/>
            <w:right w:val="none" w:sz="0" w:space="0" w:color="auto"/>
          </w:divBdr>
        </w:div>
        <w:div w:id="664823299">
          <w:marLeft w:val="0"/>
          <w:marRight w:val="0"/>
          <w:marTop w:val="0"/>
          <w:marBottom w:val="0"/>
          <w:divBdr>
            <w:top w:val="none" w:sz="0" w:space="0" w:color="auto"/>
            <w:left w:val="none" w:sz="0" w:space="0" w:color="auto"/>
            <w:bottom w:val="none" w:sz="0" w:space="0" w:color="auto"/>
            <w:right w:val="none" w:sz="0" w:space="0" w:color="auto"/>
          </w:divBdr>
        </w:div>
      </w:divsChild>
    </w:div>
    <w:div w:id="900408012">
      <w:bodyDiv w:val="1"/>
      <w:marLeft w:val="0"/>
      <w:marRight w:val="0"/>
      <w:marTop w:val="0"/>
      <w:marBottom w:val="0"/>
      <w:divBdr>
        <w:top w:val="none" w:sz="0" w:space="0" w:color="auto"/>
        <w:left w:val="none" w:sz="0" w:space="0" w:color="auto"/>
        <w:bottom w:val="none" w:sz="0" w:space="0" w:color="auto"/>
        <w:right w:val="none" w:sz="0" w:space="0" w:color="auto"/>
      </w:divBdr>
      <w:divsChild>
        <w:div w:id="813181845">
          <w:marLeft w:val="0"/>
          <w:marRight w:val="0"/>
          <w:marTop w:val="0"/>
          <w:marBottom w:val="0"/>
          <w:divBdr>
            <w:top w:val="none" w:sz="0" w:space="0" w:color="auto"/>
            <w:left w:val="none" w:sz="0" w:space="0" w:color="auto"/>
            <w:bottom w:val="none" w:sz="0" w:space="0" w:color="auto"/>
            <w:right w:val="none" w:sz="0" w:space="0" w:color="auto"/>
          </w:divBdr>
        </w:div>
        <w:div w:id="2011711858">
          <w:marLeft w:val="0"/>
          <w:marRight w:val="0"/>
          <w:marTop w:val="0"/>
          <w:marBottom w:val="0"/>
          <w:divBdr>
            <w:top w:val="none" w:sz="0" w:space="0" w:color="auto"/>
            <w:left w:val="none" w:sz="0" w:space="0" w:color="auto"/>
            <w:bottom w:val="none" w:sz="0" w:space="0" w:color="auto"/>
            <w:right w:val="none" w:sz="0" w:space="0" w:color="auto"/>
          </w:divBdr>
        </w:div>
        <w:div w:id="812333496">
          <w:marLeft w:val="0"/>
          <w:marRight w:val="0"/>
          <w:marTop w:val="0"/>
          <w:marBottom w:val="0"/>
          <w:divBdr>
            <w:top w:val="none" w:sz="0" w:space="0" w:color="auto"/>
            <w:left w:val="none" w:sz="0" w:space="0" w:color="auto"/>
            <w:bottom w:val="none" w:sz="0" w:space="0" w:color="auto"/>
            <w:right w:val="none" w:sz="0" w:space="0" w:color="auto"/>
          </w:divBdr>
        </w:div>
        <w:div w:id="1915431246">
          <w:marLeft w:val="0"/>
          <w:marRight w:val="0"/>
          <w:marTop w:val="0"/>
          <w:marBottom w:val="0"/>
          <w:divBdr>
            <w:top w:val="none" w:sz="0" w:space="0" w:color="auto"/>
            <w:left w:val="none" w:sz="0" w:space="0" w:color="auto"/>
            <w:bottom w:val="none" w:sz="0" w:space="0" w:color="auto"/>
            <w:right w:val="none" w:sz="0" w:space="0" w:color="auto"/>
          </w:divBdr>
        </w:div>
        <w:div w:id="775179086">
          <w:marLeft w:val="0"/>
          <w:marRight w:val="0"/>
          <w:marTop w:val="0"/>
          <w:marBottom w:val="0"/>
          <w:divBdr>
            <w:top w:val="none" w:sz="0" w:space="0" w:color="auto"/>
            <w:left w:val="none" w:sz="0" w:space="0" w:color="auto"/>
            <w:bottom w:val="none" w:sz="0" w:space="0" w:color="auto"/>
            <w:right w:val="none" w:sz="0" w:space="0" w:color="auto"/>
          </w:divBdr>
        </w:div>
        <w:div w:id="375860988">
          <w:marLeft w:val="0"/>
          <w:marRight w:val="0"/>
          <w:marTop w:val="0"/>
          <w:marBottom w:val="0"/>
          <w:divBdr>
            <w:top w:val="none" w:sz="0" w:space="0" w:color="auto"/>
            <w:left w:val="none" w:sz="0" w:space="0" w:color="auto"/>
            <w:bottom w:val="none" w:sz="0" w:space="0" w:color="auto"/>
            <w:right w:val="none" w:sz="0" w:space="0" w:color="auto"/>
          </w:divBdr>
        </w:div>
        <w:div w:id="3482366">
          <w:marLeft w:val="0"/>
          <w:marRight w:val="0"/>
          <w:marTop w:val="0"/>
          <w:marBottom w:val="0"/>
          <w:divBdr>
            <w:top w:val="none" w:sz="0" w:space="0" w:color="auto"/>
            <w:left w:val="none" w:sz="0" w:space="0" w:color="auto"/>
            <w:bottom w:val="none" w:sz="0" w:space="0" w:color="auto"/>
            <w:right w:val="none" w:sz="0" w:space="0" w:color="auto"/>
          </w:divBdr>
        </w:div>
        <w:div w:id="2100133079">
          <w:marLeft w:val="0"/>
          <w:marRight w:val="0"/>
          <w:marTop w:val="0"/>
          <w:marBottom w:val="0"/>
          <w:divBdr>
            <w:top w:val="none" w:sz="0" w:space="0" w:color="auto"/>
            <w:left w:val="none" w:sz="0" w:space="0" w:color="auto"/>
            <w:bottom w:val="none" w:sz="0" w:space="0" w:color="auto"/>
            <w:right w:val="none" w:sz="0" w:space="0" w:color="auto"/>
          </w:divBdr>
        </w:div>
        <w:div w:id="2057122525">
          <w:marLeft w:val="0"/>
          <w:marRight w:val="0"/>
          <w:marTop w:val="0"/>
          <w:marBottom w:val="0"/>
          <w:divBdr>
            <w:top w:val="none" w:sz="0" w:space="0" w:color="auto"/>
            <w:left w:val="none" w:sz="0" w:space="0" w:color="auto"/>
            <w:bottom w:val="none" w:sz="0" w:space="0" w:color="auto"/>
            <w:right w:val="none" w:sz="0" w:space="0" w:color="auto"/>
          </w:divBdr>
        </w:div>
        <w:div w:id="1517036624">
          <w:marLeft w:val="0"/>
          <w:marRight w:val="0"/>
          <w:marTop w:val="0"/>
          <w:marBottom w:val="0"/>
          <w:divBdr>
            <w:top w:val="none" w:sz="0" w:space="0" w:color="auto"/>
            <w:left w:val="none" w:sz="0" w:space="0" w:color="auto"/>
            <w:bottom w:val="none" w:sz="0" w:space="0" w:color="auto"/>
            <w:right w:val="none" w:sz="0" w:space="0" w:color="auto"/>
          </w:divBdr>
        </w:div>
        <w:div w:id="439763501">
          <w:marLeft w:val="0"/>
          <w:marRight w:val="0"/>
          <w:marTop w:val="0"/>
          <w:marBottom w:val="0"/>
          <w:divBdr>
            <w:top w:val="none" w:sz="0" w:space="0" w:color="auto"/>
            <w:left w:val="none" w:sz="0" w:space="0" w:color="auto"/>
            <w:bottom w:val="none" w:sz="0" w:space="0" w:color="auto"/>
            <w:right w:val="none" w:sz="0" w:space="0" w:color="auto"/>
          </w:divBdr>
        </w:div>
        <w:div w:id="1574047779">
          <w:marLeft w:val="0"/>
          <w:marRight w:val="0"/>
          <w:marTop w:val="0"/>
          <w:marBottom w:val="0"/>
          <w:divBdr>
            <w:top w:val="none" w:sz="0" w:space="0" w:color="auto"/>
            <w:left w:val="none" w:sz="0" w:space="0" w:color="auto"/>
            <w:bottom w:val="none" w:sz="0" w:space="0" w:color="auto"/>
            <w:right w:val="none" w:sz="0" w:space="0" w:color="auto"/>
          </w:divBdr>
        </w:div>
        <w:div w:id="589385991">
          <w:marLeft w:val="0"/>
          <w:marRight w:val="0"/>
          <w:marTop w:val="0"/>
          <w:marBottom w:val="0"/>
          <w:divBdr>
            <w:top w:val="none" w:sz="0" w:space="0" w:color="auto"/>
            <w:left w:val="none" w:sz="0" w:space="0" w:color="auto"/>
            <w:bottom w:val="none" w:sz="0" w:space="0" w:color="auto"/>
            <w:right w:val="none" w:sz="0" w:space="0" w:color="auto"/>
          </w:divBdr>
        </w:div>
        <w:div w:id="181096176">
          <w:marLeft w:val="0"/>
          <w:marRight w:val="0"/>
          <w:marTop w:val="0"/>
          <w:marBottom w:val="0"/>
          <w:divBdr>
            <w:top w:val="none" w:sz="0" w:space="0" w:color="auto"/>
            <w:left w:val="none" w:sz="0" w:space="0" w:color="auto"/>
            <w:bottom w:val="none" w:sz="0" w:space="0" w:color="auto"/>
            <w:right w:val="none" w:sz="0" w:space="0" w:color="auto"/>
          </w:divBdr>
        </w:div>
        <w:div w:id="2018464383">
          <w:marLeft w:val="0"/>
          <w:marRight w:val="0"/>
          <w:marTop w:val="0"/>
          <w:marBottom w:val="0"/>
          <w:divBdr>
            <w:top w:val="none" w:sz="0" w:space="0" w:color="auto"/>
            <w:left w:val="none" w:sz="0" w:space="0" w:color="auto"/>
            <w:bottom w:val="none" w:sz="0" w:space="0" w:color="auto"/>
            <w:right w:val="none" w:sz="0" w:space="0" w:color="auto"/>
          </w:divBdr>
        </w:div>
        <w:div w:id="2053992439">
          <w:marLeft w:val="0"/>
          <w:marRight w:val="0"/>
          <w:marTop w:val="0"/>
          <w:marBottom w:val="0"/>
          <w:divBdr>
            <w:top w:val="none" w:sz="0" w:space="0" w:color="auto"/>
            <w:left w:val="none" w:sz="0" w:space="0" w:color="auto"/>
            <w:bottom w:val="none" w:sz="0" w:space="0" w:color="auto"/>
            <w:right w:val="none" w:sz="0" w:space="0" w:color="auto"/>
          </w:divBdr>
        </w:div>
        <w:div w:id="196429140">
          <w:marLeft w:val="0"/>
          <w:marRight w:val="0"/>
          <w:marTop w:val="0"/>
          <w:marBottom w:val="0"/>
          <w:divBdr>
            <w:top w:val="none" w:sz="0" w:space="0" w:color="auto"/>
            <w:left w:val="none" w:sz="0" w:space="0" w:color="auto"/>
            <w:bottom w:val="none" w:sz="0" w:space="0" w:color="auto"/>
            <w:right w:val="none" w:sz="0" w:space="0" w:color="auto"/>
          </w:divBdr>
        </w:div>
      </w:divsChild>
    </w:div>
    <w:div w:id="1069303929">
      <w:bodyDiv w:val="1"/>
      <w:marLeft w:val="0"/>
      <w:marRight w:val="0"/>
      <w:marTop w:val="0"/>
      <w:marBottom w:val="0"/>
      <w:divBdr>
        <w:top w:val="none" w:sz="0" w:space="0" w:color="auto"/>
        <w:left w:val="none" w:sz="0" w:space="0" w:color="auto"/>
        <w:bottom w:val="none" w:sz="0" w:space="0" w:color="auto"/>
        <w:right w:val="none" w:sz="0" w:space="0" w:color="auto"/>
      </w:divBdr>
    </w:div>
    <w:div w:id="1134567258">
      <w:bodyDiv w:val="1"/>
      <w:marLeft w:val="0"/>
      <w:marRight w:val="0"/>
      <w:marTop w:val="0"/>
      <w:marBottom w:val="0"/>
      <w:divBdr>
        <w:top w:val="none" w:sz="0" w:space="0" w:color="auto"/>
        <w:left w:val="none" w:sz="0" w:space="0" w:color="auto"/>
        <w:bottom w:val="none" w:sz="0" w:space="0" w:color="auto"/>
        <w:right w:val="none" w:sz="0" w:space="0" w:color="auto"/>
      </w:divBdr>
      <w:divsChild>
        <w:div w:id="1882592990">
          <w:marLeft w:val="0"/>
          <w:marRight w:val="0"/>
          <w:marTop w:val="0"/>
          <w:marBottom w:val="0"/>
          <w:divBdr>
            <w:top w:val="none" w:sz="0" w:space="0" w:color="auto"/>
            <w:left w:val="none" w:sz="0" w:space="0" w:color="auto"/>
            <w:bottom w:val="none" w:sz="0" w:space="0" w:color="auto"/>
            <w:right w:val="none" w:sz="0" w:space="0" w:color="auto"/>
          </w:divBdr>
        </w:div>
        <w:div w:id="1194880226">
          <w:marLeft w:val="0"/>
          <w:marRight w:val="0"/>
          <w:marTop w:val="0"/>
          <w:marBottom w:val="0"/>
          <w:divBdr>
            <w:top w:val="none" w:sz="0" w:space="0" w:color="auto"/>
            <w:left w:val="none" w:sz="0" w:space="0" w:color="auto"/>
            <w:bottom w:val="none" w:sz="0" w:space="0" w:color="auto"/>
            <w:right w:val="none" w:sz="0" w:space="0" w:color="auto"/>
          </w:divBdr>
        </w:div>
        <w:div w:id="1158303878">
          <w:marLeft w:val="0"/>
          <w:marRight w:val="0"/>
          <w:marTop w:val="0"/>
          <w:marBottom w:val="0"/>
          <w:divBdr>
            <w:top w:val="none" w:sz="0" w:space="0" w:color="auto"/>
            <w:left w:val="none" w:sz="0" w:space="0" w:color="auto"/>
            <w:bottom w:val="none" w:sz="0" w:space="0" w:color="auto"/>
            <w:right w:val="none" w:sz="0" w:space="0" w:color="auto"/>
          </w:divBdr>
        </w:div>
        <w:div w:id="1283338954">
          <w:marLeft w:val="0"/>
          <w:marRight w:val="0"/>
          <w:marTop w:val="0"/>
          <w:marBottom w:val="0"/>
          <w:divBdr>
            <w:top w:val="none" w:sz="0" w:space="0" w:color="auto"/>
            <w:left w:val="none" w:sz="0" w:space="0" w:color="auto"/>
            <w:bottom w:val="none" w:sz="0" w:space="0" w:color="auto"/>
            <w:right w:val="none" w:sz="0" w:space="0" w:color="auto"/>
          </w:divBdr>
        </w:div>
        <w:div w:id="9648657">
          <w:marLeft w:val="0"/>
          <w:marRight w:val="0"/>
          <w:marTop w:val="0"/>
          <w:marBottom w:val="0"/>
          <w:divBdr>
            <w:top w:val="none" w:sz="0" w:space="0" w:color="auto"/>
            <w:left w:val="none" w:sz="0" w:space="0" w:color="auto"/>
            <w:bottom w:val="none" w:sz="0" w:space="0" w:color="auto"/>
            <w:right w:val="none" w:sz="0" w:space="0" w:color="auto"/>
          </w:divBdr>
        </w:div>
        <w:div w:id="855583665">
          <w:marLeft w:val="0"/>
          <w:marRight w:val="0"/>
          <w:marTop w:val="0"/>
          <w:marBottom w:val="0"/>
          <w:divBdr>
            <w:top w:val="none" w:sz="0" w:space="0" w:color="auto"/>
            <w:left w:val="none" w:sz="0" w:space="0" w:color="auto"/>
            <w:bottom w:val="none" w:sz="0" w:space="0" w:color="auto"/>
            <w:right w:val="none" w:sz="0" w:space="0" w:color="auto"/>
          </w:divBdr>
        </w:div>
      </w:divsChild>
    </w:div>
    <w:div w:id="1158375922">
      <w:bodyDiv w:val="1"/>
      <w:marLeft w:val="0"/>
      <w:marRight w:val="0"/>
      <w:marTop w:val="0"/>
      <w:marBottom w:val="0"/>
      <w:divBdr>
        <w:top w:val="none" w:sz="0" w:space="0" w:color="auto"/>
        <w:left w:val="none" w:sz="0" w:space="0" w:color="auto"/>
        <w:bottom w:val="none" w:sz="0" w:space="0" w:color="auto"/>
        <w:right w:val="none" w:sz="0" w:space="0" w:color="auto"/>
      </w:divBdr>
    </w:div>
    <w:div w:id="1158618499">
      <w:bodyDiv w:val="1"/>
      <w:marLeft w:val="0"/>
      <w:marRight w:val="0"/>
      <w:marTop w:val="0"/>
      <w:marBottom w:val="0"/>
      <w:divBdr>
        <w:top w:val="none" w:sz="0" w:space="0" w:color="auto"/>
        <w:left w:val="none" w:sz="0" w:space="0" w:color="auto"/>
        <w:bottom w:val="none" w:sz="0" w:space="0" w:color="auto"/>
        <w:right w:val="none" w:sz="0" w:space="0" w:color="auto"/>
      </w:divBdr>
    </w:div>
    <w:div w:id="1397318933">
      <w:bodyDiv w:val="1"/>
      <w:marLeft w:val="0"/>
      <w:marRight w:val="0"/>
      <w:marTop w:val="0"/>
      <w:marBottom w:val="0"/>
      <w:divBdr>
        <w:top w:val="none" w:sz="0" w:space="0" w:color="auto"/>
        <w:left w:val="none" w:sz="0" w:space="0" w:color="auto"/>
        <w:bottom w:val="none" w:sz="0" w:space="0" w:color="auto"/>
        <w:right w:val="none" w:sz="0" w:space="0" w:color="auto"/>
      </w:divBdr>
    </w:div>
    <w:div w:id="1400903176">
      <w:bodyDiv w:val="1"/>
      <w:marLeft w:val="0"/>
      <w:marRight w:val="0"/>
      <w:marTop w:val="0"/>
      <w:marBottom w:val="0"/>
      <w:divBdr>
        <w:top w:val="none" w:sz="0" w:space="0" w:color="auto"/>
        <w:left w:val="none" w:sz="0" w:space="0" w:color="auto"/>
        <w:bottom w:val="none" w:sz="0" w:space="0" w:color="auto"/>
        <w:right w:val="none" w:sz="0" w:space="0" w:color="auto"/>
      </w:divBdr>
    </w:div>
    <w:div w:id="1622029617">
      <w:bodyDiv w:val="1"/>
      <w:marLeft w:val="0"/>
      <w:marRight w:val="0"/>
      <w:marTop w:val="0"/>
      <w:marBottom w:val="0"/>
      <w:divBdr>
        <w:top w:val="none" w:sz="0" w:space="0" w:color="auto"/>
        <w:left w:val="none" w:sz="0" w:space="0" w:color="auto"/>
        <w:bottom w:val="none" w:sz="0" w:space="0" w:color="auto"/>
        <w:right w:val="none" w:sz="0" w:space="0" w:color="auto"/>
      </w:divBdr>
    </w:div>
    <w:div w:id="1724135210">
      <w:bodyDiv w:val="1"/>
      <w:marLeft w:val="0"/>
      <w:marRight w:val="0"/>
      <w:marTop w:val="0"/>
      <w:marBottom w:val="0"/>
      <w:divBdr>
        <w:top w:val="none" w:sz="0" w:space="0" w:color="auto"/>
        <w:left w:val="none" w:sz="0" w:space="0" w:color="auto"/>
        <w:bottom w:val="none" w:sz="0" w:space="0" w:color="auto"/>
        <w:right w:val="none" w:sz="0" w:space="0" w:color="auto"/>
      </w:divBdr>
    </w:div>
    <w:div w:id="19325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AB19-E6D2-4595-A0D7-800C70F3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10152</Words>
  <Characters>55838</Characters>
  <Application>Microsoft Office Word</Application>
  <DocSecurity>0</DocSecurity>
  <Lines>465</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cp:lastPrinted>2024-11-28T17:41:00Z</cp:lastPrinted>
  <dcterms:created xsi:type="dcterms:W3CDTF">2024-12-20T18:59:00Z</dcterms:created>
  <dcterms:modified xsi:type="dcterms:W3CDTF">2024-12-20T18:59:00Z</dcterms:modified>
</cp:coreProperties>
</file>