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3F75" w14:textId="7777777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CF7246" w:rsidRPr="00CF7246">
        <w:rPr>
          <w:b/>
          <w:sz w:val="20"/>
          <w:szCs w:val="20"/>
          <w:u w:val="single"/>
        </w:rPr>
        <w:t xml:space="preserve">Empleados de la Fábrica de Fuegos en Santo Antônio de </w:t>
      </w:r>
      <w:proofErr w:type="spellStart"/>
      <w:r w:rsidR="00CF7246" w:rsidRPr="00CF7246">
        <w:rPr>
          <w:b/>
          <w:sz w:val="20"/>
          <w:szCs w:val="20"/>
          <w:u w:val="single"/>
        </w:rPr>
        <w:t>Jesus</w:t>
      </w:r>
      <w:proofErr w:type="spellEnd"/>
      <w:r w:rsidR="00CF7246" w:rsidRPr="00CF7246">
        <w:rPr>
          <w:b/>
          <w:sz w:val="20"/>
          <w:szCs w:val="20"/>
          <w:u w:val="single"/>
        </w:rPr>
        <w:t xml:space="preserve"> y sus familiares</w:t>
      </w:r>
      <w:r w:rsidR="00CF7246" w:rsidRPr="00B32A37">
        <w:rPr>
          <w:b/>
          <w:i/>
          <w:sz w:val="20"/>
          <w:szCs w:val="20"/>
          <w:u w:val="single"/>
          <w:lang w:val="es-CR"/>
        </w:rPr>
        <w:t xml:space="preserve"> </w:t>
      </w:r>
      <w:r w:rsidRPr="00B32A37">
        <w:rPr>
          <w:b/>
          <w:i/>
          <w:sz w:val="20"/>
          <w:szCs w:val="20"/>
          <w:u w:val="single"/>
          <w:lang w:val="es-CR"/>
        </w:rPr>
        <w:t xml:space="preserve">Vs. </w:t>
      </w:r>
      <w:r w:rsidRPr="00834F1A">
        <w:rPr>
          <w:b/>
          <w:sz w:val="20"/>
          <w:szCs w:val="20"/>
          <w:u w:val="single"/>
          <w:lang w:val="es-MX"/>
        </w:rPr>
        <w:t>Brasil</w:t>
      </w:r>
      <w:r w:rsidRPr="00296F77">
        <w:rPr>
          <w:b/>
          <w:sz w:val="20"/>
          <w:szCs w:val="20"/>
          <w:u w:val="single"/>
          <w:lang w:val="es-MX"/>
        </w:rPr>
        <w:t>: reparaciones pendientes de cumplimiento</w:t>
      </w:r>
    </w:p>
    <w:p w14:paraId="1E4C2606" w14:textId="77777777" w:rsidR="00F66BE4" w:rsidRPr="00296F77" w:rsidRDefault="00F66BE4"/>
    <w:p w14:paraId="13FFABC5" w14:textId="77777777" w:rsidR="002E376C" w:rsidRPr="002E376C" w:rsidRDefault="002E376C" w:rsidP="002E376C">
      <w:pPr>
        <w:pStyle w:val="Prrafodelista"/>
        <w:contextualSpacing w:val="0"/>
        <w:rPr>
          <w:rFonts w:eastAsia="Cambria" w:cs="Times New Roman"/>
          <w:bCs/>
          <w:sz w:val="20"/>
          <w:szCs w:val="20"/>
          <w:lang w:val="es-ES"/>
        </w:rPr>
      </w:pPr>
    </w:p>
    <w:p w14:paraId="526D6946" w14:textId="77777777" w:rsidR="002E376C" w:rsidRPr="002E376C" w:rsidRDefault="002E376C" w:rsidP="002E376C">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ealizar</w:t>
      </w:r>
      <w:r w:rsidR="00CF7246" w:rsidRPr="00CF7246">
        <w:rPr>
          <w:rFonts w:eastAsia="Cambria" w:cs="Times New Roman"/>
          <w:bCs/>
          <w:sz w:val="20"/>
          <w:szCs w:val="20"/>
        </w:rPr>
        <w:t xml:space="preserve">, en un plazo de seis meses a partir de la notificación de la presente Sentencia, las publicaciones indicadas en el párrafo 277 de la Sentencia, </w:t>
      </w:r>
      <w:r w:rsidR="00CF7246">
        <w:rPr>
          <w:rFonts w:eastAsia="Cambria" w:cs="Times New Roman"/>
          <w:bCs/>
          <w:sz w:val="20"/>
          <w:szCs w:val="20"/>
        </w:rPr>
        <w:t>en los términos allí dispuestos</w:t>
      </w:r>
      <w:r w:rsidRPr="002E376C">
        <w:rPr>
          <w:rFonts w:eastAsia="Cambria" w:cs="Times New Roman"/>
          <w:bCs/>
          <w:sz w:val="20"/>
          <w:szCs w:val="20"/>
          <w:lang w:val="es-ES"/>
        </w:rPr>
        <w:t>.</w:t>
      </w:r>
    </w:p>
    <w:p w14:paraId="409F5349" w14:textId="77777777" w:rsidR="00CF7246" w:rsidRPr="00C82201" w:rsidRDefault="00CF7246" w:rsidP="00C82201">
      <w:pPr>
        <w:rPr>
          <w:rFonts w:eastAsia="Cambria" w:cs="Times New Roman"/>
          <w:bCs/>
          <w:sz w:val="20"/>
          <w:szCs w:val="20"/>
          <w:lang w:val="es-ES"/>
        </w:rPr>
      </w:pPr>
    </w:p>
    <w:p w14:paraId="6A0915EA" w14:textId="3401CEDF" w:rsidR="0023149A" w:rsidRPr="0023149A" w:rsidRDefault="0023149A" w:rsidP="0023149A">
      <w:pPr>
        <w:rPr>
          <w:rFonts w:eastAsia="Cambria" w:cs="Times New Roman"/>
          <w:b/>
          <w:sz w:val="20"/>
          <w:szCs w:val="20"/>
          <w:lang w:val="es-ES"/>
        </w:rPr>
      </w:pPr>
      <w:r>
        <w:rPr>
          <w:rFonts w:eastAsia="Cambria" w:cs="Times New Roman"/>
          <w:b/>
          <w:sz w:val="20"/>
          <w:szCs w:val="20"/>
          <w:lang w:val="es-ES"/>
        </w:rPr>
        <w:t>Cumplimiento parcial:</w:t>
      </w:r>
    </w:p>
    <w:p w14:paraId="3A60E515" w14:textId="77777777" w:rsidR="0023149A" w:rsidRPr="0023149A" w:rsidRDefault="0023149A" w:rsidP="0023149A">
      <w:pPr>
        <w:pStyle w:val="Prrafodelista"/>
        <w:rPr>
          <w:rFonts w:eastAsia="Cambria" w:cs="Times New Roman"/>
          <w:bCs/>
          <w:sz w:val="20"/>
          <w:szCs w:val="20"/>
          <w:lang w:val="es-ES"/>
        </w:rPr>
      </w:pPr>
    </w:p>
    <w:p w14:paraId="5088A84B" w14:textId="28C62634" w:rsidR="0023149A" w:rsidRPr="0023149A" w:rsidRDefault="0023149A" w:rsidP="0023149A">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w:t>
      </w:r>
      <w:r w:rsidRPr="00CF7246">
        <w:rPr>
          <w:rFonts w:eastAsia="Cambria" w:cs="Times New Roman"/>
          <w:bCs/>
          <w:sz w:val="20"/>
          <w:szCs w:val="20"/>
        </w:rPr>
        <w:t xml:space="preserve"> las cantidades fi</w:t>
      </w:r>
      <w:r>
        <w:rPr>
          <w:rFonts w:eastAsia="Cambria" w:cs="Times New Roman"/>
          <w:bCs/>
          <w:sz w:val="20"/>
          <w:szCs w:val="20"/>
        </w:rPr>
        <w:t xml:space="preserve">jadas en los párrafos 296 y 303 </w:t>
      </w:r>
      <w:r w:rsidRPr="00CF7246">
        <w:rPr>
          <w:rFonts w:eastAsia="Cambria" w:cs="Times New Roman"/>
          <w:bCs/>
          <w:sz w:val="20"/>
          <w:szCs w:val="20"/>
        </w:rPr>
        <w:t>de la presente Sentencia, por concepto de in</w:t>
      </w:r>
      <w:r>
        <w:rPr>
          <w:rFonts w:eastAsia="Cambria" w:cs="Times New Roman"/>
          <w:bCs/>
          <w:sz w:val="20"/>
          <w:szCs w:val="20"/>
        </w:rPr>
        <w:t>demnizaciones por daño material</w:t>
      </w:r>
      <w:r w:rsidRPr="00CF7246">
        <w:rPr>
          <w:rFonts w:eastAsia="Cambria" w:cs="Times New Roman"/>
          <w:bCs/>
          <w:sz w:val="20"/>
          <w:szCs w:val="20"/>
        </w:rPr>
        <w:t xml:space="preserve"> </w:t>
      </w:r>
      <w:r>
        <w:rPr>
          <w:rFonts w:eastAsia="Cambria" w:cs="Times New Roman"/>
          <w:bCs/>
          <w:sz w:val="20"/>
          <w:szCs w:val="20"/>
        </w:rPr>
        <w:t xml:space="preserve">y </w:t>
      </w:r>
      <w:r w:rsidRPr="00CF7246">
        <w:rPr>
          <w:rFonts w:eastAsia="Cambria" w:cs="Times New Roman"/>
          <w:bCs/>
          <w:sz w:val="20"/>
          <w:szCs w:val="20"/>
        </w:rPr>
        <w:t>daño inmaterial, en los términos de los párrafos 296, 297, 303, 3</w:t>
      </w:r>
      <w:r>
        <w:rPr>
          <w:rFonts w:eastAsia="Cambria" w:cs="Times New Roman"/>
          <w:bCs/>
          <w:sz w:val="20"/>
          <w:szCs w:val="20"/>
        </w:rPr>
        <w:t xml:space="preserve">04 </w:t>
      </w:r>
      <w:r w:rsidRPr="00CF7246">
        <w:rPr>
          <w:rFonts w:eastAsia="Cambria" w:cs="Times New Roman"/>
          <w:bCs/>
          <w:sz w:val="20"/>
          <w:szCs w:val="20"/>
        </w:rPr>
        <w:t>y 313 a 317 de la Sentencia.</w:t>
      </w:r>
    </w:p>
    <w:p w14:paraId="2A11A865" w14:textId="77777777" w:rsidR="0023149A" w:rsidRDefault="0023149A" w:rsidP="0023149A">
      <w:pPr>
        <w:pStyle w:val="Prrafodelista"/>
        <w:tabs>
          <w:tab w:val="left" w:pos="720"/>
        </w:tabs>
        <w:ind w:left="0" w:right="-90"/>
        <w:contextualSpacing w:val="0"/>
        <w:jc w:val="both"/>
        <w:rPr>
          <w:rFonts w:eastAsia="Cambria" w:cs="Times New Roman"/>
          <w:bCs/>
          <w:sz w:val="20"/>
          <w:szCs w:val="20"/>
        </w:rPr>
      </w:pPr>
    </w:p>
    <w:p w14:paraId="00D4B94F" w14:textId="2F8C78F3" w:rsidR="00166491" w:rsidRPr="00984EC1" w:rsidRDefault="00166491" w:rsidP="0016649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sidR="00492A9A">
        <w:rPr>
          <w:rFonts w:eastAsia="Cambria" w:cs="Times New Roman"/>
          <w:bCs/>
          <w:sz w:val="20"/>
          <w:szCs w:val="20"/>
          <w:lang w:val="es-ES"/>
        </w:rPr>
        <w:t>el Considerando 13</w:t>
      </w:r>
      <w:r>
        <w:rPr>
          <w:rFonts w:eastAsia="Cambria" w:cs="Times New Roman"/>
          <w:bCs/>
          <w:sz w:val="20"/>
          <w:szCs w:val="20"/>
          <w:lang w:val="es-ES"/>
        </w:rPr>
        <w:t xml:space="preserve"> </w:t>
      </w:r>
      <w:r w:rsidRPr="00AD6DAD">
        <w:rPr>
          <w:rFonts w:eastAsia="Cambria" w:cs="Times New Roman"/>
          <w:bCs/>
          <w:sz w:val="20"/>
          <w:szCs w:val="20"/>
          <w:lang w:val="es-ES"/>
        </w:rPr>
        <w:t xml:space="preserve">de la Resolución de </w:t>
      </w:r>
      <w:r w:rsidR="00492A9A">
        <w:rPr>
          <w:rFonts w:eastAsia="Cambria" w:cs="Times New Roman"/>
          <w:bCs/>
          <w:sz w:val="20"/>
          <w:szCs w:val="20"/>
          <w:lang w:val="es-ES"/>
        </w:rPr>
        <w:t>2 de septiembre</w:t>
      </w:r>
      <w:r w:rsidRPr="00AD6DAD">
        <w:rPr>
          <w:rFonts w:eastAsia="Cambria" w:cs="Times New Roman"/>
          <w:bCs/>
          <w:sz w:val="20"/>
          <w:szCs w:val="20"/>
          <w:lang w:val="es-ES"/>
        </w:rPr>
        <w:t xml:space="preserve"> de 2024, se explica lo que continúa pendiente de cumplimiento respecto a la presente medida de reparación:</w:t>
      </w:r>
    </w:p>
    <w:p w14:paraId="04D7E43D" w14:textId="77777777" w:rsidR="0023149A" w:rsidRPr="00166491" w:rsidRDefault="0023149A" w:rsidP="0023149A">
      <w:pPr>
        <w:pStyle w:val="Prrafodelista"/>
        <w:tabs>
          <w:tab w:val="left" w:pos="720"/>
        </w:tabs>
        <w:ind w:left="0" w:right="-90"/>
        <w:contextualSpacing w:val="0"/>
        <w:jc w:val="both"/>
        <w:rPr>
          <w:rFonts w:eastAsia="Cambria" w:cs="Times New Roman"/>
          <w:bCs/>
          <w:sz w:val="20"/>
          <w:szCs w:val="20"/>
          <w:lang w:val="es-ES"/>
        </w:rPr>
      </w:pPr>
    </w:p>
    <w:p w14:paraId="65EF5085" w14:textId="21E39B95" w:rsidR="00E10736" w:rsidRDefault="00E10736" w:rsidP="00E10736">
      <w:pPr>
        <w:pStyle w:val="Prrafodelista"/>
        <w:tabs>
          <w:tab w:val="left" w:pos="720"/>
        </w:tabs>
        <w:ind w:right="-90"/>
        <w:contextualSpacing w:val="0"/>
        <w:jc w:val="both"/>
        <w:rPr>
          <w:rFonts w:eastAsia="Cambria" w:cs="Times New Roman"/>
          <w:bCs/>
          <w:sz w:val="18"/>
          <w:szCs w:val="18"/>
        </w:rPr>
      </w:pPr>
      <w:r w:rsidRPr="00E10736">
        <w:rPr>
          <w:rFonts w:eastAsia="Cambria" w:cs="Times New Roman"/>
          <w:bCs/>
          <w:sz w:val="18"/>
          <w:szCs w:val="18"/>
        </w:rPr>
        <w:t xml:space="preserve">13. </w:t>
      </w:r>
      <w:r w:rsidR="002B5153">
        <w:rPr>
          <w:rFonts w:eastAsia="Cambria" w:cs="Times New Roman"/>
          <w:bCs/>
          <w:sz w:val="18"/>
          <w:szCs w:val="18"/>
        </w:rPr>
        <w:tab/>
      </w:r>
      <w:r w:rsidRPr="00E10736">
        <w:rPr>
          <w:rFonts w:eastAsia="Cambria" w:cs="Times New Roman"/>
          <w:bCs/>
          <w:sz w:val="18"/>
          <w:szCs w:val="18"/>
        </w:rPr>
        <w:t xml:space="preserve">A la luz de lo expuesto, la Corte considera que Brasil ha dado cumplimiento parcial al pago de indemnizaciones por concepto de daños materiales e inmateriales, ordenado en el punto resolutivo vigésimo de la Sentencia. A fin de que el Tribunal pueda valorar el cumplimiento total de la misma, el Estado deberá: </w:t>
      </w:r>
    </w:p>
    <w:p w14:paraId="145A731B" w14:textId="77777777" w:rsidR="00E10736" w:rsidRPr="00E10736" w:rsidRDefault="00E10736" w:rsidP="00E10736">
      <w:pPr>
        <w:pStyle w:val="Prrafodelista"/>
        <w:tabs>
          <w:tab w:val="left" w:pos="720"/>
        </w:tabs>
        <w:ind w:right="-90"/>
        <w:contextualSpacing w:val="0"/>
        <w:jc w:val="both"/>
        <w:rPr>
          <w:rFonts w:eastAsia="Cambria" w:cs="Times New Roman"/>
          <w:bCs/>
          <w:sz w:val="18"/>
          <w:szCs w:val="18"/>
        </w:rPr>
      </w:pPr>
    </w:p>
    <w:p w14:paraId="3AFD4411" w14:textId="7904B0B0"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 xml:space="preserve">(i) pagar la totalidad del monto ordenado en la Sentencia a favor de 3 víctimas listadas en el Anexo 1 o sus derechohabientes; </w:t>
      </w:r>
    </w:p>
    <w:p w14:paraId="3E42BADF"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 xml:space="preserve">(ii) pagar la totalidad del monto ordenado en la Sentencia a favor de la víctima Roberto Carlos de Jesús, incluido en el Anexo 2 de la Sentencia o sus derechohabientes; </w:t>
      </w:r>
    </w:p>
    <w:p w14:paraId="4309CF0B"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 xml:space="preserve">(iii) remitir la explicación requerida en el Considerando 9 con respecto al pago correspondiente a la víctima Izabel </w:t>
      </w:r>
      <w:proofErr w:type="spellStart"/>
      <w:r w:rsidRPr="00E10736">
        <w:rPr>
          <w:rFonts w:eastAsia="Cambria" w:cs="Times New Roman"/>
          <w:bCs/>
          <w:sz w:val="18"/>
          <w:szCs w:val="18"/>
        </w:rPr>
        <w:t>Alexandrina</w:t>
      </w:r>
      <w:proofErr w:type="spellEnd"/>
      <w:r w:rsidRPr="00E10736">
        <w:rPr>
          <w:rFonts w:eastAsia="Cambria" w:cs="Times New Roman"/>
          <w:bCs/>
          <w:sz w:val="18"/>
          <w:szCs w:val="18"/>
        </w:rPr>
        <w:t xml:space="preserve"> da Silva; </w:t>
      </w:r>
    </w:p>
    <w:p w14:paraId="665BDE39" w14:textId="77777777" w:rsidR="00E10736" w:rsidRPr="00E10736" w:rsidRDefault="00E10736" w:rsidP="002B5153">
      <w:pPr>
        <w:pStyle w:val="Prrafodelista"/>
        <w:tabs>
          <w:tab w:val="left" w:pos="720"/>
        </w:tabs>
        <w:spacing w:after="240"/>
        <w:ind w:left="1440" w:right="-90"/>
        <w:contextualSpacing w:val="0"/>
        <w:jc w:val="both"/>
        <w:rPr>
          <w:rFonts w:eastAsia="Cambria" w:cs="Times New Roman"/>
          <w:bCs/>
          <w:sz w:val="18"/>
          <w:szCs w:val="18"/>
        </w:rPr>
      </w:pPr>
      <w:r w:rsidRPr="00E10736">
        <w:rPr>
          <w:rFonts w:eastAsia="Cambria" w:cs="Times New Roman"/>
          <w:bCs/>
          <w:sz w:val="18"/>
          <w:szCs w:val="18"/>
        </w:rPr>
        <w:t>(</w:t>
      </w:r>
      <w:proofErr w:type="spellStart"/>
      <w:r w:rsidRPr="00E10736">
        <w:rPr>
          <w:rFonts w:eastAsia="Cambria" w:cs="Times New Roman"/>
          <w:bCs/>
          <w:sz w:val="18"/>
          <w:szCs w:val="18"/>
        </w:rPr>
        <w:t>iv</w:t>
      </w:r>
      <w:proofErr w:type="spellEnd"/>
      <w:r w:rsidRPr="00E10736">
        <w:rPr>
          <w:rFonts w:eastAsia="Cambria" w:cs="Times New Roman"/>
          <w:bCs/>
          <w:sz w:val="18"/>
          <w:szCs w:val="18"/>
        </w:rPr>
        <w:t xml:space="preserve">) remitir la información requerida en el Considerando 10 respecto de los pagos que afirma haber realizado a 5 víctimas pertenecientes a un mismo grupo familiar, y </w:t>
      </w:r>
    </w:p>
    <w:p w14:paraId="7AAC8DB5" w14:textId="6A58A918" w:rsidR="0023149A" w:rsidRDefault="00E10736" w:rsidP="00E10736">
      <w:pPr>
        <w:pStyle w:val="Prrafodelista"/>
        <w:tabs>
          <w:tab w:val="left" w:pos="720"/>
        </w:tabs>
        <w:ind w:left="1440" w:right="-90"/>
        <w:contextualSpacing w:val="0"/>
        <w:jc w:val="both"/>
        <w:rPr>
          <w:rFonts w:eastAsia="Cambria" w:cs="Times New Roman"/>
          <w:bCs/>
          <w:sz w:val="20"/>
          <w:szCs w:val="20"/>
        </w:rPr>
      </w:pPr>
      <w:r w:rsidRPr="00E10736">
        <w:rPr>
          <w:rFonts w:eastAsia="Cambria" w:cs="Times New Roman"/>
          <w:bCs/>
          <w:sz w:val="18"/>
          <w:szCs w:val="18"/>
        </w:rPr>
        <w:t>(v) remitir la información requerida en el Considerando 11 relativa al tipo de cambio utilizado en los pagos que afirma haber realizado a 6 víctimas incluidas en el Anexo 1, así como a 83 víctimas incluidas en el Anexo 2 de la Sentencia.</w:t>
      </w:r>
    </w:p>
    <w:p w14:paraId="77412F6B" w14:textId="77777777" w:rsidR="00E10736" w:rsidRPr="00AA27C7" w:rsidRDefault="00E10736" w:rsidP="0023149A">
      <w:pPr>
        <w:pStyle w:val="Prrafodelista"/>
        <w:tabs>
          <w:tab w:val="left" w:pos="720"/>
        </w:tabs>
        <w:ind w:left="0" w:right="-90"/>
        <w:contextualSpacing w:val="0"/>
        <w:jc w:val="both"/>
        <w:rPr>
          <w:rFonts w:eastAsia="Cambria" w:cs="Times New Roman"/>
          <w:bCs/>
          <w:sz w:val="20"/>
          <w:szCs w:val="20"/>
          <w:lang w:val="es-ES"/>
        </w:rPr>
      </w:pPr>
    </w:p>
    <w:p w14:paraId="0FDBE63B" w14:textId="77777777" w:rsidR="0023149A" w:rsidRPr="0023149A" w:rsidRDefault="0023149A" w:rsidP="0023149A">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AA27C7">
        <w:rPr>
          <w:rFonts w:eastAsia="Cambria" w:cs="Times New Roman"/>
          <w:bCs/>
          <w:sz w:val="20"/>
          <w:szCs w:val="20"/>
        </w:rPr>
        <w:t>agar</w:t>
      </w:r>
      <w:r>
        <w:rPr>
          <w:rFonts w:eastAsia="Cambria" w:cs="Times New Roman"/>
          <w:bCs/>
          <w:sz w:val="20"/>
          <w:szCs w:val="20"/>
        </w:rPr>
        <w:t xml:space="preserve"> la cantidad fijada</w:t>
      </w:r>
      <w:r w:rsidRPr="00AA27C7">
        <w:rPr>
          <w:rFonts w:eastAsia="Cambria" w:cs="Times New Roman"/>
          <w:bCs/>
          <w:sz w:val="20"/>
          <w:szCs w:val="20"/>
        </w:rPr>
        <w:t xml:space="preserve"> </w:t>
      </w:r>
      <w:r>
        <w:rPr>
          <w:rFonts w:eastAsia="Cambria" w:cs="Times New Roman"/>
          <w:bCs/>
          <w:sz w:val="20"/>
          <w:szCs w:val="20"/>
        </w:rPr>
        <w:t xml:space="preserve">en el párrafo </w:t>
      </w:r>
      <w:r w:rsidRPr="00AA27C7">
        <w:rPr>
          <w:rFonts w:eastAsia="Cambria" w:cs="Times New Roman"/>
          <w:bCs/>
          <w:sz w:val="20"/>
          <w:szCs w:val="20"/>
        </w:rPr>
        <w:t>312 de la presente Sentencia</w:t>
      </w:r>
      <w:r>
        <w:rPr>
          <w:rFonts w:eastAsia="Cambria" w:cs="Times New Roman"/>
          <w:bCs/>
          <w:sz w:val="20"/>
          <w:szCs w:val="20"/>
        </w:rPr>
        <w:t xml:space="preserve"> </w:t>
      </w:r>
      <w:r w:rsidRPr="00CF7246">
        <w:rPr>
          <w:rFonts w:eastAsia="Cambria" w:cs="Times New Roman"/>
          <w:bCs/>
          <w:sz w:val="20"/>
          <w:szCs w:val="20"/>
        </w:rPr>
        <w:t>por concepto de</w:t>
      </w:r>
      <w:r>
        <w:rPr>
          <w:rFonts w:eastAsia="Cambria" w:cs="Times New Roman"/>
          <w:bCs/>
          <w:sz w:val="20"/>
          <w:szCs w:val="20"/>
        </w:rPr>
        <w:t xml:space="preserve"> </w:t>
      </w:r>
      <w:r w:rsidRPr="00CF7246">
        <w:rPr>
          <w:rFonts w:eastAsia="Cambria" w:cs="Times New Roman"/>
          <w:bCs/>
          <w:sz w:val="20"/>
          <w:szCs w:val="20"/>
        </w:rPr>
        <w:t>costas y gastos</w:t>
      </w:r>
      <w:r>
        <w:rPr>
          <w:rFonts w:eastAsia="Cambria" w:cs="Times New Roman"/>
          <w:bCs/>
          <w:sz w:val="20"/>
          <w:szCs w:val="20"/>
        </w:rPr>
        <w:t xml:space="preserve"> </w:t>
      </w:r>
      <w:r w:rsidRPr="00CF7246">
        <w:rPr>
          <w:rFonts w:eastAsia="Cambria" w:cs="Times New Roman"/>
          <w:bCs/>
          <w:sz w:val="20"/>
          <w:szCs w:val="20"/>
        </w:rPr>
        <w:t>en los términos de los párrafos 312 y 313 a 317 de la Sentencia.</w:t>
      </w:r>
    </w:p>
    <w:p w14:paraId="48218CFE" w14:textId="25AD2E09" w:rsidR="0023149A" w:rsidRDefault="0023149A" w:rsidP="00D83010">
      <w:pPr>
        <w:pStyle w:val="Prrafodelista"/>
        <w:tabs>
          <w:tab w:val="left" w:pos="720"/>
        </w:tabs>
        <w:ind w:left="0" w:right="-90"/>
        <w:contextualSpacing w:val="0"/>
        <w:jc w:val="both"/>
        <w:rPr>
          <w:rFonts w:eastAsia="Cambria" w:cs="Times New Roman"/>
          <w:bCs/>
          <w:sz w:val="20"/>
          <w:szCs w:val="20"/>
          <w:lang w:val="es-ES"/>
        </w:rPr>
      </w:pPr>
    </w:p>
    <w:p w14:paraId="68FFBEF0" w14:textId="4E21AAEE" w:rsidR="00D83010" w:rsidRPr="00984EC1" w:rsidRDefault="00D83010" w:rsidP="00D83010">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Pr>
          <w:rFonts w:eastAsia="Cambria" w:cs="Times New Roman"/>
          <w:bCs/>
          <w:sz w:val="20"/>
          <w:szCs w:val="20"/>
          <w:lang w:val="es-ES"/>
        </w:rPr>
        <w:t>los Considerandos 1</w:t>
      </w:r>
      <w:r w:rsidR="001345E3">
        <w:rPr>
          <w:rFonts w:eastAsia="Cambria" w:cs="Times New Roman"/>
          <w:bCs/>
          <w:sz w:val="20"/>
          <w:szCs w:val="20"/>
          <w:lang w:val="es-ES"/>
        </w:rPr>
        <w:t>16 a 18</w:t>
      </w:r>
      <w:r>
        <w:rPr>
          <w:rFonts w:eastAsia="Cambria" w:cs="Times New Roman"/>
          <w:bCs/>
          <w:sz w:val="20"/>
          <w:szCs w:val="20"/>
          <w:lang w:val="es-ES"/>
        </w:rPr>
        <w:t xml:space="preserve"> </w:t>
      </w:r>
      <w:r w:rsidRPr="00AD6DAD">
        <w:rPr>
          <w:rFonts w:eastAsia="Cambria" w:cs="Times New Roman"/>
          <w:bCs/>
          <w:sz w:val="20"/>
          <w:szCs w:val="20"/>
          <w:lang w:val="es-ES"/>
        </w:rPr>
        <w:t xml:space="preserve">de la Resolución de </w:t>
      </w:r>
      <w:r>
        <w:rPr>
          <w:rFonts w:eastAsia="Cambria" w:cs="Times New Roman"/>
          <w:bCs/>
          <w:sz w:val="20"/>
          <w:szCs w:val="20"/>
          <w:lang w:val="es-ES"/>
        </w:rPr>
        <w:t>2 de septiembre</w:t>
      </w:r>
      <w:r w:rsidRPr="00AD6DAD">
        <w:rPr>
          <w:rFonts w:eastAsia="Cambria" w:cs="Times New Roman"/>
          <w:bCs/>
          <w:sz w:val="20"/>
          <w:szCs w:val="20"/>
          <w:lang w:val="es-ES"/>
        </w:rPr>
        <w:t xml:space="preserve"> de 2024, se explica lo que continúa pendiente de cumplimiento respecto a la presente medida de reparación:</w:t>
      </w:r>
    </w:p>
    <w:p w14:paraId="51489818" w14:textId="77777777" w:rsidR="00D83010" w:rsidRPr="00AA27C7" w:rsidRDefault="00D83010" w:rsidP="00D83010">
      <w:pPr>
        <w:pStyle w:val="Prrafodelista"/>
        <w:tabs>
          <w:tab w:val="left" w:pos="720"/>
        </w:tabs>
        <w:ind w:left="0" w:right="-90"/>
        <w:contextualSpacing w:val="0"/>
        <w:jc w:val="both"/>
        <w:rPr>
          <w:rFonts w:eastAsia="Cambria" w:cs="Times New Roman"/>
          <w:bCs/>
          <w:sz w:val="20"/>
          <w:szCs w:val="20"/>
          <w:lang w:val="es-ES"/>
        </w:rPr>
      </w:pPr>
    </w:p>
    <w:p w14:paraId="6CF21B1F" w14:textId="0C9EA7AD" w:rsidR="001345E3" w:rsidRPr="001345E3" w:rsidRDefault="001345E3" w:rsidP="001345E3">
      <w:pPr>
        <w:pStyle w:val="Prrafodelista"/>
        <w:tabs>
          <w:tab w:val="left" w:pos="720"/>
        </w:tabs>
        <w:ind w:right="-90"/>
        <w:contextualSpacing w:val="0"/>
        <w:jc w:val="both"/>
        <w:rPr>
          <w:rFonts w:eastAsia="Cambria" w:cs="Times New Roman"/>
          <w:bCs/>
          <w:sz w:val="18"/>
          <w:szCs w:val="18"/>
        </w:rPr>
      </w:pPr>
      <w:r w:rsidRPr="001345E3">
        <w:rPr>
          <w:rFonts w:eastAsia="Cambria" w:cs="Times New Roman"/>
          <w:bCs/>
          <w:sz w:val="18"/>
          <w:szCs w:val="18"/>
        </w:rPr>
        <w:t xml:space="preserve">16. </w:t>
      </w:r>
      <w:r w:rsidR="00634587">
        <w:rPr>
          <w:rFonts w:eastAsia="Cambria" w:cs="Times New Roman"/>
          <w:bCs/>
          <w:sz w:val="18"/>
          <w:szCs w:val="18"/>
        </w:rPr>
        <w:tab/>
      </w:r>
      <w:r w:rsidRPr="001345E3">
        <w:rPr>
          <w:rFonts w:eastAsia="Cambria" w:cs="Times New Roman"/>
          <w:bCs/>
          <w:sz w:val="18"/>
          <w:szCs w:val="18"/>
        </w:rPr>
        <w:t xml:space="preserve">Con base en los comprobantes aportados por el Estado, la Corte considera que el Estado ha dado cumplimiento parcial a esta medida, en tanto constata que Brasil pagó la parte proporcional de la cantidad fijada en el párrafo 312 a: (i) Justicia Global, (ii) la Red Social de Justicia y Derechos Humanos, (iii) </w:t>
      </w:r>
      <w:proofErr w:type="spellStart"/>
      <w:r w:rsidRPr="001345E3">
        <w:rPr>
          <w:rFonts w:eastAsia="Cambria" w:cs="Times New Roman"/>
          <w:bCs/>
          <w:sz w:val="18"/>
          <w:szCs w:val="18"/>
        </w:rPr>
        <w:t>Ailton</w:t>
      </w:r>
      <w:proofErr w:type="spellEnd"/>
      <w:r w:rsidRPr="001345E3">
        <w:rPr>
          <w:rFonts w:eastAsia="Cambria" w:cs="Times New Roman"/>
          <w:bCs/>
          <w:sz w:val="18"/>
          <w:szCs w:val="18"/>
        </w:rPr>
        <w:t xml:space="preserve"> José dos Santos, y (</w:t>
      </w:r>
      <w:proofErr w:type="spellStart"/>
      <w:r w:rsidRPr="001345E3">
        <w:rPr>
          <w:rFonts w:eastAsia="Cambria" w:cs="Times New Roman"/>
          <w:bCs/>
          <w:sz w:val="18"/>
          <w:szCs w:val="18"/>
        </w:rPr>
        <w:t>iv</w:t>
      </w:r>
      <w:proofErr w:type="spellEnd"/>
      <w:r w:rsidRPr="001345E3">
        <w:rPr>
          <w:rFonts w:eastAsia="Cambria" w:cs="Times New Roman"/>
          <w:bCs/>
          <w:sz w:val="18"/>
          <w:szCs w:val="18"/>
        </w:rPr>
        <w:t xml:space="preserve">) </w:t>
      </w:r>
      <w:proofErr w:type="spellStart"/>
      <w:r w:rsidRPr="001345E3">
        <w:rPr>
          <w:rFonts w:eastAsia="Cambria" w:cs="Times New Roman"/>
          <w:bCs/>
          <w:sz w:val="18"/>
          <w:szCs w:val="18"/>
        </w:rPr>
        <w:t>Yulo</w:t>
      </w:r>
      <w:proofErr w:type="spellEnd"/>
      <w:r w:rsidRPr="001345E3">
        <w:rPr>
          <w:rFonts w:eastAsia="Cambria" w:cs="Times New Roman"/>
          <w:bCs/>
          <w:sz w:val="18"/>
          <w:szCs w:val="18"/>
        </w:rPr>
        <w:t xml:space="preserve"> </w:t>
      </w:r>
      <w:proofErr w:type="spellStart"/>
      <w:r w:rsidRPr="001345E3">
        <w:rPr>
          <w:rFonts w:eastAsia="Cambria" w:cs="Times New Roman"/>
          <w:bCs/>
          <w:sz w:val="18"/>
          <w:szCs w:val="18"/>
        </w:rPr>
        <w:t>Oiticica</w:t>
      </w:r>
      <w:proofErr w:type="spellEnd"/>
      <w:r w:rsidRPr="001345E3">
        <w:rPr>
          <w:rFonts w:eastAsia="Cambria" w:cs="Times New Roman"/>
          <w:bCs/>
          <w:sz w:val="18"/>
          <w:szCs w:val="18"/>
        </w:rPr>
        <w:t xml:space="preserve">. </w:t>
      </w:r>
    </w:p>
    <w:p w14:paraId="7834B734" w14:textId="77777777" w:rsidR="001345E3" w:rsidRPr="001345E3" w:rsidRDefault="001345E3" w:rsidP="001345E3">
      <w:pPr>
        <w:pStyle w:val="Prrafodelista"/>
        <w:tabs>
          <w:tab w:val="left" w:pos="720"/>
        </w:tabs>
        <w:ind w:right="-90"/>
        <w:contextualSpacing w:val="0"/>
        <w:jc w:val="both"/>
        <w:rPr>
          <w:rFonts w:eastAsia="Cambria" w:cs="Times New Roman"/>
          <w:bCs/>
          <w:sz w:val="18"/>
          <w:szCs w:val="18"/>
        </w:rPr>
      </w:pPr>
    </w:p>
    <w:p w14:paraId="0D93C940" w14:textId="3D93524B" w:rsidR="001345E3" w:rsidRPr="001345E3" w:rsidRDefault="001345E3" w:rsidP="001345E3">
      <w:pPr>
        <w:pStyle w:val="Prrafodelista"/>
        <w:tabs>
          <w:tab w:val="left" w:pos="720"/>
        </w:tabs>
        <w:ind w:right="-90"/>
        <w:contextualSpacing w:val="0"/>
        <w:jc w:val="both"/>
        <w:rPr>
          <w:rFonts w:eastAsia="Cambria" w:cs="Times New Roman"/>
          <w:bCs/>
          <w:sz w:val="18"/>
          <w:szCs w:val="18"/>
        </w:rPr>
      </w:pPr>
      <w:r w:rsidRPr="001345E3">
        <w:rPr>
          <w:rFonts w:eastAsia="Cambria" w:cs="Times New Roman"/>
          <w:bCs/>
          <w:sz w:val="18"/>
          <w:szCs w:val="18"/>
        </w:rPr>
        <w:t xml:space="preserve">17. </w:t>
      </w:r>
      <w:r w:rsidR="00634587">
        <w:rPr>
          <w:rFonts w:eastAsia="Cambria" w:cs="Times New Roman"/>
          <w:bCs/>
          <w:sz w:val="18"/>
          <w:szCs w:val="18"/>
        </w:rPr>
        <w:tab/>
      </w:r>
      <w:r w:rsidRPr="001345E3">
        <w:rPr>
          <w:rFonts w:eastAsia="Cambria" w:cs="Times New Roman"/>
          <w:bCs/>
          <w:sz w:val="18"/>
          <w:szCs w:val="18"/>
        </w:rPr>
        <w:t xml:space="preserve">Con respecto a los restantes representantes, Brasil refirió que: (i) desde la organización Movimiento 11 de Diciembre informaron que se encontraban abriendo una cuenta bancaria a nombre de la entidad y que el trámite se encontraba “en estado avanzado”; (ii) la organización Fórum de Derechos Humanos de Santo Antônio de </w:t>
      </w:r>
      <w:proofErr w:type="spellStart"/>
      <w:r w:rsidRPr="001345E3">
        <w:rPr>
          <w:rFonts w:eastAsia="Cambria" w:cs="Times New Roman"/>
          <w:bCs/>
          <w:sz w:val="18"/>
          <w:szCs w:val="18"/>
        </w:rPr>
        <w:t>Jesus</w:t>
      </w:r>
      <w:proofErr w:type="spellEnd"/>
      <w:r w:rsidRPr="001345E3">
        <w:rPr>
          <w:rFonts w:eastAsia="Cambria" w:cs="Times New Roman"/>
          <w:bCs/>
          <w:sz w:val="18"/>
          <w:szCs w:val="18"/>
        </w:rPr>
        <w:t>/</w:t>
      </w:r>
      <w:proofErr w:type="spellStart"/>
      <w:r w:rsidRPr="001345E3">
        <w:rPr>
          <w:rFonts w:eastAsia="Cambria" w:cs="Times New Roman"/>
          <w:bCs/>
          <w:sz w:val="18"/>
          <w:szCs w:val="18"/>
        </w:rPr>
        <w:t>Bahia</w:t>
      </w:r>
      <w:proofErr w:type="spellEnd"/>
      <w:r w:rsidRPr="001345E3">
        <w:rPr>
          <w:rFonts w:eastAsia="Cambria" w:cs="Times New Roman"/>
          <w:bCs/>
          <w:sz w:val="18"/>
          <w:szCs w:val="18"/>
        </w:rPr>
        <w:t xml:space="preserve"> “ya no estaría en funcionamiento”, y (iii) que el señor Nelson Portela Pellegrino no había presentado los documentos requeridos para el pago, pese a haber sido “debidamente notificado”. Al respecto, en junio de 2024, las representantes indicaron que habían “intentado [ponerse en] contacto con el Sr. Nelson Portela </w:t>
      </w:r>
      <w:r w:rsidRPr="001345E3">
        <w:rPr>
          <w:rFonts w:eastAsia="Cambria" w:cs="Times New Roman"/>
          <w:bCs/>
          <w:sz w:val="18"/>
          <w:szCs w:val="18"/>
        </w:rPr>
        <w:lastRenderedPageBreak/>
        <w:t xml:space="preserve">Pellegrino para averiguar el interés en recibir” dicho pago. Asimismo, con relación al Fórum de Derechos Humanos de Santo Antônio de </w:t>
      </w:r>
      <w:proofErr w:type="spellStart"/>
      <w:r w:rsidRPr="001345E3">
        <w:rPr>
          <w:rFonts w:eastAsia="Cambria" w:cs="Times New Roman"/>
          <w:bCs/>
          <w:sz w:val="18"/>
          <w:szCs w:val="18"/>
        </w:rPr>
        <w:t>Jesus</w:t>
      </w:r>
      <w:proofErr w:type="spellEnd"/>
      <w:r w:rsidRPr="001345E3">
        <w:rPr>
          <w:rFonts w:eastAsia="Cambria" w:cs="Times New Roman"/>
          <w:bCs/>
          <w:sz w:val="18"/>
          <w:szCs w:val="18"/>
        </w:rPr>
        <w:t>/</w:t>
      </w:r>
      <w:proofErr w:type="spellStart"/>
      <w:r w:rsidRPr="001345E3">
        <w:rPr>
          <w:rFonts w:eastAsia="Cambria" w:cs="Times New Roman"/>
          <w:bCs/>
          <w:sz w:val="18"/>
          <w:szCs w:val="18"/>
        </w:rPr>
        <w:t>Bahia</w:t>
      </w:r>
      <w:proofErr w:type="spellEnd"/>
      <w:r w:rsidRPr="001345E3">
        <w:rPr>
          <w:rFonts w:eastAsia="Cambria" w:cs="Times New Roman"/>
          <w:bCs/>
          <w:sz w:val="18"/>
          <w:szCs w:val="18"/>
        </w:rPr>
        <w:t>, explicaron que la entidad había sido “</w:t>
      </w:r>
      <w:proofErr w:type="spellStart"/>
      <w:r w:rsidRPr="001345E3">
        <w:rPr>
          <w:rFonts w:eastAsia="Cambria" w:cs="Times New Roman"/>
          <w:bCs/>
          <w:sz w:val="18"/>
          <w:szCs w:val="18"/>
        </w:rPr>
        <w:t>dis</w:t>
      </w:r>
      <w:proofErr w:type="spellEnd"/>
      <w:r w:rsidRPr="001345E3">
        <w:rPr>
          <w:rFonts w:eastAsia="Cambria" w:cs="Times New Roman"/>
          <w:bCs/>
          <w:sz w:val="18"/>
          <w:szCs w:val="18"/>
        </w:rPr>
        <w:t>[</w:t>
      </w:r>
      <w:proofErr w:type="spellStart"/>
      <w:r w:rsidRPr="001345E3">
        <w:rPr>
          <w:rFonts w:eastAsia="Cambria" w:cs="Times New Roman"/>
          <w:bCs/>
          <w:sz w:val="18"/>
          <w:szCs w:val="18"/>
        </w:rPr>
        <w:t>uelta</w:t>
      </w:r>
      <w:proofErr w:type="spellEnd"/>
      <w:r w:rsidRPr="001345E3">
        <w:rPr>
          <w:rFonts w:eastAsia="Cambria" w:cs="Times New Roman"/>
          <w:bCs/>
          <w:sz w:val="18"/>
          <w:szCs w:val="18"/>
        </w:rPr>
        <w:t>]”, y que “diligenciar[</w:t>
      </w:r>
      <w:proofErr w:type="spellStart"/>
      <w:r w:rsidRPr="001345E3">
        <w:rPr>
          <w:rFonts w:eastAsia="Cambria" w:cs="Times New Roman"/>
          <w:bCs/>
          <w:sz w:val="18"/>
          <w:szCs w:val="18"/>
        </w:rPr>
        <w:t>ían</w:t>
      </w:r>
      <w:proofErr w:type="spellEnd"/>
      <w:r w:rsidRPr="001345E3">
        <w:rPr>
          <w:rFonts w:eastAsia="Cambria" w:cs="Times New Roman"/>
          <w:bCs/>
          <w:sz w:val="18"/>
          <w:szCs w:val="18"/>
        </w:rPr>
        <w:t xml:space="preserve">] para verificar si existen sucesores de la referida entidad que respondan actualmente por el crédito”. </w:t>
      </w:r>
    </w:p>
    <w:p w14:paraId="7EA26D9B" w14:textId="77777777" w:rsidR="001345E3" w:rsidRPr="001345E3" w:rsidRDefault="001345E3" w:rsidP="001345E3">
      <w:pPr>
        <w:pStyle w:val="Prrafodelista"/>
        <w:tabs>
          <w:tab w:val="left" w:pos="720"/>
        </w:tabs>
        <w:ind w:right="-90"/>
        <w:contextualSpacing w:val="0"/>
        <w:jc w:val="both"/>
        <w:rPr>
          <w:rFonts w:eastAsia="Cambria" w:cs="Times New Roman"/>
          <w:bCs/>
          <w:sz w:val="18"/>
          <w:szCs w:val="18"/>
        </w:rPr>
      </w:pPr>
    </w:p>
    <w:p w14:paraId="5A10642A" w14:textId="57C8D4CC" w:rsidR="00AA27C7" w:rsidRPr="001345E3" w:rsidRDefault="001345E3" w:rsidP="001345E3">
      <w:pPr>
        <w:pStyle w:val="Prrafodelista"/>
        <w:tabs>
          <w:tab w:val="left" w:pos="720"/>
        </w:tabs>
        <w:ind w:right="-90"/>
        <w:contextualSpacing w:val="0"/>
        <w:jc w:val="both"/>
        <w:rPr>
          <w:rFonts w:eastAsia="Cambria" w:cs="Times New Roman"/>
          <w:bCs/>
          <w:sz w:val="18"/>
          <w:szCs w:val="18"/>
          <w:lang w:val="es-ES"/>
        </w:rPr>
      </w:pPr>
      <w:r w:rsidRPr="001345E3">
        <w:rPr>
          <w:rFonts w:eastAsia="Cambria" w:cs="Times New Roman"/>
          <w:bCs/>
          <w:sz w:val="18"/>
          <w:szCs w:val="18"/>
        </w:rPr>
        <w:t xml:space="preserve">18. </w:t>
      </w:r>
      <w:r w:rsidR="00634587">
        <w:rPr>
          <w:rFonts w:eastAsia="Cambria" w:cs="Times New Roman"/>
          <w:bCs/>
          <w:sz w:val="18"/>
          <w:szCs w:val="18"/>
        </w:rPr>
        <w:tab/>
      </w:r>
      <w:r w:rsidRPr="001345E3">
        <w:rPr>
          <w:rFonts w:eastAsia="Cambria" w:cs="Times New Roman"/>
          <w:bCs/>
          <w:sz w:val="18"/>
          <w:szCs w:val="18"/>
        </w:rPr>
        <w:t>En cuanto a los tres pagos pendientes, la Corte constata la buena fe de Brasil para avanzar en su cumplimiento, y queda a la espera de que la representación de las víctimas remita la documentación necesaria para que el Estado pueda proceder al pago. El Tribunal considera que no se genera obligación de pagar intereses moratorios durante el tiempo de atraso que no sea atribuible al Estado.</w:t>
      </w:r>
    </w:p>
    <w:sectPr w:rsidR="00AA27C7" w:rsidRPr="001345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221EB" w14:textId="77777777" w:rsidR="00A40C2A" w:rsidRDefault="00A40C2A" w:rsidP="009F7EF4">
      <w:r>
        <w:separator/>
      </w:r>
    </w:p>
  </w:endnote>
  <w:endnote w:type="continuationSeparator" w:id="0">
    <w:p w14:paraId="0615BAD7" w14:textId="77777777" w:rsidR="00A40C2A" w:rsidRDefault="00A40C2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5444"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887F6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BB78" w14:textId="77777777" w:rsidR="00A40C2A" w:rsidRDefault="00A40C2A" w:rsidP="009F7EF4">
      <w:r>
        <w:separator/>
      </w:r>
    </w:p>
  </w:footnote>
  <w:footnote w:type="continuationSeparator" w:id="0">
    <w:p w14:paraId="74B79879" w14:textId="77777777" w:rsidR="00A40C2A" w:rsidRDefault="00A40C2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1FC1BC0"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E07FB">
          <w:rPr>
            <w:noProof/>
            <w:sz w:val="20"/>
            <w:szCs w:val="20"/>
          </w:rPr>
          <w:t>1</w:t>
        </w:r>
        <w:r w:rsidRPr="00675FE7">
          <w:rPr>
            <w:noProof/>
            <w:sz w:val="20"/>
            <w:szCs w:val="20"/>
          </w:rPr>
          <w:fldChar w:fldCharType="end"/>
        </w:r>
      </w:p>
    </w:sdtContent>
  </w:sdt>
  <w:p w14:paraId="4FC1758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82626">
    <w:abstractNumId w:val="6"/>
  </w:num>
  <w:num w:numId="2" w16cid:durableId="1092706772">
    <w:abstractNumId w:val="2"/>
  </w:num>
  <w:num w:numId="3" w16cid:durableId="751242828">
    <w:abstractNumId w:val="5"/>
  </w:num>
  <w:num w:numId="4" w16cid:durableId="334383821">
    <w:abstractNumId w:val="0"/>
  </w:num>
  <w:num w:numId="5" w16cid:durableId="1547374979">
    <w:abstractNumId w:val="1"/>
  </w:num>
  <w:num w:numId="6" w16cid:durableId="1121724749">
    <w:abstractNumId w:val="3"/>
  </w:num>
  <w:num w:numId="7" w16cid:durableId="904335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345E3"/>
    <w:rsid w:val="001426AA"/>
    <w:rsid w:val="00166491"/>
    <w:rsid w:val="0023149A"/>
    <w:rsid w:val="00296F77"/>
    <w:rsid w:val="002B3295"/>
    <w:rsid w:val="002B5153"/>
    <w:rsid w:val="002E376C"/>
    <w:rsid w:val="003A7E5E"/>
    <w:rsid w:val="003C561A"/>
    <w:rsid w:val="003C7798"/>
    <w:rsid w:val="003E50D0"/>
    <w:rsid w:val="00474D04"/>
    <w:rsid w:val="00476F6E"/>
    <w:rsid w:val="00492A9A"/>
    <w:rsid w:val="005A203D"/>
    <w:rsid w:val="005D1A85"/>
    <w:rsid w:val="00617B3E"/>
    <w:rsid w:val="00634587"/>
    <w:rsid w:val="006A777A"/>
    <w:rsid w:val="006C38A6"/>
    <w:rsid w:val="00792165"/>
    <w:rsid w:val="008227D5"/>
    <w:rsid w:val="00834F1A"/>
    <w:rsid w:val="008A0193"/>
    <w:rsid w:val="00926FFB"/>
    <w:rsid w:val="009832C0"/>
    <w:rsid w:val="009D22BE"/>
    <w:rsid w:val="009F7EF4"/>
    <w:rsid w:val="00A40C2A"/>
    <w:rsid w:val="00AA27C7"/>
    <w:rsid w:val="00AC1E5B"/>
    <w:rsid w:val="00AE0035"/>
    <w:rsid w:val="00B11B9B"/>
    <w:rsid w:val="00B32A37"/>
    <w:rsid w:val="00B33305"/>
    <w:rsid w:val="00BA6BA9"/>
    <w:rsid w:val="00BC5824"/>
    <w:rsid w:val="00C4747D"/>
    <w:rsid w:val="00C807CF"/>
    <w:rsid w:val="00C82201"/>
    <w:rsid w:val="00CF7246"/>
    <w:rsid w:val="00D3440D"/>
    <w:rsid w:val="00D83010"/>
    <w:rsid w:val="00E10736"/>
    <w:rsid w:val="00E210BA"/>
    <w:rsid w:val="00E42392"/>
    <w:rsid w:val="00E85D9E"/>
    <w:rsid w:val="00EE07FB"/>
    <w:rsid w:val="00F07AC9"/>
    <w:rsid w:val="00F50093"/>
    <w:rsid w:val="00F6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C84B"/>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10"/>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612</Words>
  <Characters>3367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17</cp:revision>
  <cp:lastPrinted>2025-01-07T20:31:00Z</cp:lastPrinted>
  <dcterms:created xsi:type="dcterms:W3CDTF">2020-11-13T16:45:00Z</dcterms:created>
  <dcterms:modified xsi:type="dcterms:W3CDTF">2025-01-07T20:31:00Z</dcterms:modified>
</cp:coreProperties>
</file>