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4A5A" w14:textId="66C436A5" w:rsidR="005D701A" w:rsidRPr="00DC15CE" w:rsidRDefault="005D701A" w:rsidP="005D701A">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 xml:space="preserve">Brítez Arce y otros </w:t>
      </w:r>
      <w:r w:rsidRPr="005D701A">
        <w:rPr>
          <w:rFonts w:ascii="Verdana" w:hAnsi="Verdana"/>
          <w:b/>
          <w:i/>
          <w:iCs/>
          <w:sz w:val="22"/>
          <w:szCs w:val="22"/>
          <w:u w:val="single"/>
        </w:rPr>
        <w:t>Vs</w:t>
      </w:r>
      <w:r>
        <w:rPr>
          <w:rFonts w:ascii="Verdana" w:hAnsi="Verdana"/>
          <w:b/>
          <w:sz w:val="22"/>
          <w:szCs w:val="22"/>
          <w:u w:val="single"/>
        </w:rPr>
        <w:t>. Argentina</w:t>
      </w:r>
      <w:r w:rsidRPr="00DC15CE">
        <w:rPr>
          <w:rFonts w:ascii="Verdana" w:hAnsi="Verdana"/>
          <w:b/>
          <w:sz w:val="22"/>
          <w:szCs w:val="22"/>
          <w:u w:val="single"/>
        </w:rPr>
        <w:t xml:space="preserve">: </w:t>
      </w:r>
      <w:r>
        <w:rPr>
          <w:rFonts w:ascii="Verdana" w:hAnsi="Verdana"/>
          <w:b/>
          <w:sz w:val="22"/>
          <w:szCs w:val="22"/>
          <w:u w:val="single"/>
        </w:rPr>
        <w:t>reparaciones declaradas cumplidas</w:t>
      </w:r>
    </w:p>
    <w:p w14:paraId="5FB32E44" w14:textId="77777777" w:rsidR="005D701A" w:rsidRDefault="005D701A" w:rsidP="005D701A">
      <w:pPr>
        <w:pStyle w:val="Default"/>
      </w:pPr>
    </w:p>
    <w:p w14:paraId="7802E328" w14:textId="77777777" w:rsidR="005D701A" w:rsidRPr="004B642A" w:rsidRDefault="005D701A" w:rsidP="005D701A">
      <w:pPr>
        <w:pStyle w:val="Default"/>
        <w:jc w:val="both"/>
      </w:pPr>
      <w:r w:rsidRPr="004B642A">
        <w:t xml:space="preserve"> </w:t>
      </w:r>
    </w:p>
    <w:p w14:paraId="22B03EFD" w14:textId="77777777" w:rsidR="005D701A" w:rsidRDefault="005D701A" w:rsidP="005D701A">
      <w:pPr>
        <w:pStyle w:val="Default"/>
        <w:numPr>
          <w:ilvl w:val="0"/>
          <w:numId w:val="1"/>
        </w:numPr>
        <w:jc w:val="both"/>
        <w:rPr>
          <w:sz w:val="20"/>
          <w:szCs w:val="20"/>
          <w:lang w:val="es-ES_tradnl"/>
        </w:rPr>
      </w:pPr>
      <w:r>
        <w:rPr>
          <w:sz w:val="20"/>
          <w:szCs w:val="20"/>
        </w:rPr>
        <w:t>R</w:t>
      </w:r>
      <w:r w:rsidRPr="004B642A">
        <w:rPr>
          <w:sz w:val="20"/>
          <w:szCs w:val="20"/>
        </w:rPr>
        <w:t>ealizar las pub</w:t>
      </w:r>
      <w:r>
        <w:rPr>
          <w:sz w:val="20"/>
          <w:szCs w:val="20"/>
        </w:rPr>
        <w:t>licaciones de la Sentencia y de su resumen oficial, indicadas en los párrafos</w:t>
      </w:r>
      <w:r w:rsidRPr="002F2DEC">
        <w:rPr>
          <w:sz w:val="20"/>
          <w:szCs w:val="20"/>
          <w:lang w:val="es-ES_tradnl"/>
        </w:rPr>
        <w:t xml:space="preserve"> 108 y 109 de la </w:t>
      </w:r>
      <w:r>
        <w:rPr>
          <w:sz w:val="20"/>
          <w:szCs w:val="20"/>
          <w:lang w:val="es-ES_tradnl"/>
        </w:rPr>
        <w:t>misma</w:t>
      </w:r>
      <w:r w:rsidRPr="002F2DEC">
        <w:rPr>
          <w:sz w:val="20"/>
          <w:szCs w:val="20"/>
          <w:lang w:val="es-ES_tradnl"/>
        </w:rPr>
        <w:t xml:space="preserve">. </w:t>
      </w:r>
    </w:p>
    <w:p w14:paraId="497B8BE8" w14:textId="77777777" w:rsidR="005D701A" w:rsidRDefault="005D701A" w:rsidP="005D701A">
      <w:pPr>
        <w:pStyle w:val="Default"/>
        <w:ind w:left="3"/>
        <w:jc w:val="both"/>
        <w:rPr>
          <w:sz w:val="20"/>
          <w:szCs w:val="20"/>
          <w:lang w:val="es-ES_tradnl"/>
        </w:rPr>
      </w:pPr>
    </w:p>
    <w:p w14:paraId="2B4881BB" w14:textId="69AD3115" w:rsidR="005D701A" w:rsidRPr="005D701A" w:rsidRDefault="005D701A" w:rsidP="005D701A">
      <w:pPr>
        <w:pStyle w:val="Default"/>
        <w:ind w:left="3"/>
        <w:jc w:val="both"/>
        <w:rPr>
          <w:b/>
          <w:bCs/>
          <w:sz w:val="20"/>
          <w:szCs w:val="20"/>
          <w:u w:val="single"/>
          <w:lang w:val="es-ES_tradnl"/>
        </w:rPr>
      </w:pPr>
      <w:r w:rsidRPr="005D701A">
        <w:rPr>
          <w:b/>
          <w:bCs/>
          <w:sz w:val="20"/>
          <w:szCs w:val="20"/>
          <w:u w:val="single"/>
          <w:lang w:val="es-ES_tradnl"/>
        </w:rPr>
        <w:t>Cumplimiento parcial:</w:t>
      </w:r>
    </w:p>
    <w:p w14:paraId="387A6087" w14:textId="77777777" w:rsidR="005D701A" w:rsidRDefault="005D701A" w:rsidP="005D701A">
      <w:pPr>
        <w:pStyle w:val="Default"/>
        <w:ind w:left="3"/>
        <w:jc w:val="both"/>
        <w:rPr>
          <w:sz w:val="20"/>
          <w:szCs w:val="20"/>
          <w:lang w:val="es-ES_tradnl"/>
        </w:rPr>
      </w:pPr>
    </w:p>
    <w:p w14:paraId="1DEE06A6" w14:textId="14BC9BC3" w:rsidR="005D701A" w:rsidRDefault="005D701A" w:rsidP="005D701A">
      <w:pPr>
        <w:pStyle w:val="Default"/>
        <w:numPr>
          <w:ilvl w:val="0"/>
          <w:numId w:val="1"/>
        </w:numPr>
        <w:jc w:val="both"/>
        <w:rPr>
          <w:sz w:val="20"/>
          <w:szCs w:val="20"/>
          <w:lang w:val="es-ES_tradnl"/>
        </w:rPr>
      </w:pPr>
      <w:r w:rsidRPr="005D701A">
        <w:rPr>
          <w:sz w:val="20"/>
          <w:szCs w:val="20"/>
          <w:lang w:val="es-ES_tradnl"/>
        </w:rPr>
        <w:t>Diseñar una campaña de difusión de los derechos relacionados con el embarazo, el trabajo de parto y el posparto y las situaciones que pueden configurar casos de “violencia obstétrica” conforme a lo establecido en el párrafo 119 de la Sentencia.</w:t>
      </w:r>
    </w:p>
    <w:p w14:paraId="05257C8C" w14:textId="77777777" w:rsidR="005D701A" w:rsidRDefault="005D701A" w:rsidP="005D701A">
      <w:pPr>
        <w:pStyle w:val="Default"/>
        <w:jc w:val="both"/>
        <w:rPr>
          <w:sz w:val="20"/>
          <w:szCs w:val="20"/>
          <w:lang w:val="es-ES_tradnl"/>
        </w:rPr>
      </w:pPr>
    </w:p>
    <w:p w14:paraId="36B184AC" w14:textId="77777777" w:rsidR="005D701A" w:rsidRPr="00747EB8" w:rsidRDefault="005D701A" w:rsidP="005D701A">
      <w:pPr>
        <w:pStyle w:val="Prrafodelista"/>
        <w:ind w:left="0"/>
        <w:contextualSpacing w:val="0"/>
        <w:jc w:val="both"/>
        <w:rPr>
          <w:rFonts w:ascii="Verdana" w:hAnsi="Verdana"/>
          <w:lang w:val="es-CR"/>
        </w:rPr>
      </w:pPr>
      <w:r w:rsidRPr="00747EB8">
        <w:rPr>
          <w:rFonts w:ascii="Verdana" w:hAnsi="Verdana"/>
          <w:lang w:val="es-CR"/>
        </w:rPr>
        <w:t xml:space="preserve">En el Considerando </w:t>
      </w:r>
      <w:r>
        <w:rPr>
          <w:rFonts w:ascii="Verdana" w:hAnsi="Verdana"/>
          <w:lang w:val="es-CR"/>
        </w:rPr>
        <w:t>14</w:t>
      </w:r>
      <w:r w:rsidRPr="00747EB8">
        <w:rPr>
          <w:rFonts w:ascii="Verdana" w:hAnsi="Verdana"/>
          <w:lang w:val="es-CR"/>
        </w:rPr>
        <w:t xml:space="preserve"> de la Resolución de la Corte de </w:t>
      </w:r>
      <w:r w:rsidRPr="00747EB8">
        <w:rPr>
          <w:rFonts w:ascii="Verdana" w:hAnsi="Verdana"/>
        </w:rPr>
        <w:t>30 de abril de 2024</w:t>
      </w:r>
      <w:r w:rsidRPr="00747EB8">
        <w:rPr>
          <w:rFonts w:ascii="Verdana" w:hAnsi="Verdana"/>
          <w:lang w:val="es-CR"/>
        </w:rPr>
        <w:t xml:space="preserve"> se explica lo que continúa pendiente de cumplimiento respecto a la presente medida de reparación: </w:t>
      </w:r>
    </w:p>
    <w:p w14:paraId="533B8244" w14:textId="77777777" w:rsidR="005D701A" w:rsidRDefault="005D701A" w:rsidP="005D701A">
      <w:pPr>
        <w:pStyle w:val="Default"/>
        <w:jc w:val="both"/>
        <w:rPr>
          <w:sz w:val="20"/>
          <w:szCs w:val="20"/>
        </w:rPr>
      </w:pPr>
    </w:p>
    <w:p w14:paraId="2EA623A0" w14:textId="66EE9DC3" w:rsidR="005D701A" w:rsidRPr="005D701A" w:rsidRDefault="005D701A" w:rsidP="005D701A">
      <w:pPr>
        <w:pStyle w:val="Default"/>
        <w:ind w:left="708"/>
        <w:jc w:val="both"/>
        <w:rPr>
          <w:sz w:val="16"/>
          <w:szCs w:val="16"/>
        </w:rPr>
      </w:pPr>
      <w:r w:rsidRPr="00747EB8">
        <w:rPr>
          <w:sz w:val="16"/>
          <w:szCs w:val="16"/>
        </w:rPr>
        <w:t>14. Tomando en cuenta lo expuesto, este Tribunal considera que Argentina ha dado cumplimiento parcial a la medida ordenada en el punto resolutivo octavo y párrafo 119 de la Sentencia ya que diseñó una campaña para prevenir y erradicar la violencia obstétrica y difundir los derechos de las personas gestantes durante el embarazo, parto y posparto, y realizó acciones para su difusión. Se encuentra pendiente que el Estado informe sobre las restantes acciones de difusión, según lo indicado en el Considerando 12, y que efectúe las aclaraciones solicitadas en el Considerando 13.</w:t>
      </w:r>
    </w:p>
    <w:p w14:paraId="46578141" w14:textId="77777777" w:rsidR="002C0B9B" w:rsidRDefault="002C0B9B"/>
    <w:sectPr w:rsidR="002C0B9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3596" w14:textId="77777777" w:rsidR="00EE1E95" w:rsidRDefault="00EE1E95" w:rsidP="0020446C">
      <w:r>
        <w:separator/>
      </w:r>
    </w:p>
  </w:endnote>
  <w:endnote w:type="continuationSeparator" w:id="0">
    <w:p w14:paraId="3B5594A7" w14:textId="77777777" w:rsidR="00EE1E95" w:rsidRDefault="00EE1E95" w:rsidP="0020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EA47" w14:textId="77777777" w:rsidR="0020446C" w:rsidRPr="009B6E42" w:rsidRDefault="0020446C" w:rsidP="0020446C">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DF59A" w14:textId="77777777" w:rsidR="0020446C" w:rsidRPr="0020446C" w:rsidRDefault="0020446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9DAC" w14:textId="77777777" w:rsidR="00EE1E95" w:rsidRDefault="00EE1E95" w:rsidP="0020446C">
      <w:r>
        <w:separator/>
      </w:r>
    </w:p>
  </w:footnote>
  <w:footnote w:type="continuationSeparator" w:id="0">
    <w:p w14:paraId="055A8F38" w14:textId="77777777" w:rsidR="00EE1E95" w:rsidRDefault="00EE1E95" w:rsidP="0020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65180AB0"/>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1707438907">
    <w:abstractNumId w:val="0"/>
  </w:num>
  <w:num w:numId="2" w16cid:durableId="100362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A"/>
    <w:rsid w:val="0020446C"/>
    <w:rsid w:val="002C0B9B"/>
    <w:rsid w:val="00430CC8"/>
    <w:rsid w:val="005D701A"/>
    <w:rsid w:val="009249DD"/>
    <w:rsid w:val="009952B2"/>
    <w:rsid w:val="009A4F5B"/>
    <w:rsid w:val="00AF4881"/>
    <w:rsid w:val="00D130B3"/>
    <w:rsid w:val="00EE1E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DECB"/>
  <w15:chartTrackingRefBased/>
  <w15:docId w15:val="{640878BD-49D0-41FE-AC09-74C21231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1A"/>
    <w:pPr>
      <w:spacing w:after="0" w:line="240" w:lineRule="auto"/>
    </w:pPr>
    <w:rPr>
      <w:rFonts w:ascii="Arial" w:eastAsia="Times New Roman" w:hAnsi="Arial"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5D7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7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70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70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70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701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701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701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701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70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70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70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70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70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70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70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70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701A"/>
    <w:rPr>
      <w:rFonts w:eastAsiaTheme="majorEastAsia" w:cstheme="majorBidi"/>
      <w:color w:val="272727" w:themeColor="text1" w:themeTint="D8"/>
    </w:rPr>
  </w:style>
  <w:style w:type="paragraph" w:styleId="Ttulo">
    <w:name w:val="Title"/>
    <w:basedOn w:val="Normal"/>
    <w:next w:val="Normal"/>
    <w:link w:val="TtuloCar"/>
    <w:uiPriority w:val="10"/>
    <w:qFormat/>
    <w:rsid w:val="005D701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70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70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70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701A"/>
    <w:pPr>
      <w:spacing w:before="160"/>
      <w:jc w:val="center"/>
    </w:pPr>
    <w:rPr>
      <w:i/>
      <w:iCs/>
      <w:color w:val="404040" w:themeColor="text1" w:themeTint="BF"/>
    </w:rPr>
  </w:style>
  <w:style w:type="character" w:customStyle="1" w:styleId="CitaCar">
    <w:name w:val="Cita Car"/>
    <w:basedOn w:val="Fuentedeprrafopredeter"/>
    <w:link w:val="Cita"/>
    <w:uiPriority w:val="29"/>
    <w:rsid w:val="005D701A"/>
    <w:rPr>
      <w:i/>
      <w:iCs/>
      <w:color w:val="404040" w:themeColor="text1" w:themeTint="BF"/>
    </w:rPr>
  </w:style>
  <w:style w:type="paragraph" w:styleId="Prrafodelista">
    <w:name w:val="List Paragraph"/>
    <w:aliases w:val="Footnote,List Paragraph1,Colorful List - Accent 11"/>
    <w:basedOn w:val="Normal"/>
    <w:link w:val="PrrafodelistaCar"/>
    <w:uiPriority w:val="34"/>
    <w:qFormat/>
    <w:rsid w:val="005D701A"/>
    <w:pPr>
      <w:ind w:left="720"/>
      <w:contextualSpacing/>
    </w:pPr>
  </w:style>
  <w:style w:type="character" w:styleId="nfasisintenso">
    <w:name w:val="Intense Emphasis"/>
    <w:basedOn w:val="Fuentedeprrafopredeter"/>
    <w:uiPriority w:val="21"/>
    <w:qFormat/>
    <w:rsid w:val="005D701A"/>
    <w:rPr>
      <w:i/>
      <w:iCs/>
      <w:color w:val="0F4761" w:themeColor="accent1" w:themeShade="BF"/>
    </w:rPr>
  </w:style>
  <w:style w:type="paragraph" w:styleId="Citadestacada">
    <w:name w:val="Intense Quote"/>
    <w:basedOn w:val="Normal"/>
    <w:next w:val="Normal"/>
    <w:link w:val="CitadestacadaCar"/>
    <w:uiPriority w:val="30"/>
    <w:qFormat/>
    <w:rsid w:val="005D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701A"/>
    <w:rPr>
      <w:i/>
      <w:iCs/>
      <w:color w:val="0F4761" w:themeColor="accent1" w:themeShade="BF"/>
    </w:rPr>
  </w:style>
  <w:style w:type="character" w:styleId="Referenciaintensa">
    <w:name w:val="Intense Reference"/>
    <w:basedOn w:val="Fuentedeprrafopredeter"/>
    <w:uiPriority w:val="32"/>
    <w:qFormat/>
    <w:rsid w:val="005D701A"/>
    <w:rPr>
      <w:b/>
      <w:bCs/>
      <w:smallCaps/>
      <w:color w:val="0F4761" w:themeColor="accent1" w:themeShade="BF"/>
      <w:spacing w:val="5"/>
    </w:rPr>
  </w:style>
  <w:style w:type="paragraph" w:customStyle="1" w:styleId="Default">
    <w:name w:val="Default"/>
    <w:rsid w:val="005D701A"/>
    <w:pPr>
      <w:autoSpaceDE w:val="0"/>
      <w:autoSpaceDN w:val="0"/>
      <w:adjustRightInd w:val="0"/>
      <w:spacing w:after="0" w:line="240" w:lineRule="auto"/>
    </w:pPr>
    <w:rPr>
      <w:rFonts w:ascii="Verdana" w:hAnsi="Verdana" w:cs="Verdana"/>
      <w:color w:val="000000"/>
      <w:kern w:val="0"/>
      <w14:ligatures w14:val="none"/>
    </w:rPr>
  </w:style>
  <w:style w:type="character" w:customStyle="1" w:styleId="PrrafodelistaCar">
    <w:name w:val="Párrafo de lista Car"/>
    <w:aliases w:val="Footnote Car,List Paragraph1 Car,Colorful List - Accent 11 Car"/>
    <w:basedOn w:val="Fuentedeprrafopredeter"/>
    <w:link w:val="Prrafodelista"/>
    <w:uiPriority w:val="34"/>
    <w:locked/>
    <w:rsid w:val="005D701A"/>
    <w:rPr>
      <w:rFonts w:ascii="Arial" w:eastAsia="Times New Roman" w:hAnsi="Arial" w:cs="Times New Roman"/>
      <w:kern w:val="0"/>
      <w:sz w:val="20"/>
      <w:szCs w:val="20"/>
      <w:lang w:val="es-ES_tradnl" w:eastAsia="es-ES"/>
      <w14:ligatures w14:val="none"/>
    </w:rPr>
  </w:style>
  <w:style w:type="paragraph" w:styleId="Encabezado">
    <w:name w:val="header"/>
    <w:basedOn w:val="Normal"/>
    <w:link w:val="EncabezadoCar"/>
    <w:uiPriority w:val="99"/>
    <w:unhideWhenUsed/>
    <w:rsid w:val="0020446C"/>
    <w:pPr>
      <w:tabs>
        <w:tab w:val="center" w:pos="4419"/>
        <w:tab w:val="right" w:pos="8838"/>
      </w:tabs>
    </w:pPr>
  </w:style>
  <w:style w:type="character" w:customStyle="1" w:styleId="EncabezadoCar">
    <w:name w:val="Encabezado Car"/>
    <w:basedOn w:val="Fuentedeprrafopredeter"/>
    <w:link w:val="Encabezado"/>
    <w:uiPriority w:val="99"/>
    <w:rsid w:val="0020446C"/>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unhideWhenUsed/>
    <w:rsid w:val="0020446C"/>
    <w:pPr>
      <w:tabs>
        <w:tab w:val="center" w:pos="4419"/>
        <w:tab w:val="right" w:pos="8838"/>
      </w:tabs>
    </w:pPr>
  </w:style>
  <w:style w:type="character" w:customStyle="1" w:styleId="PiedepginaCar">
    <w:name w:val="Pie de página Car"/>
    <w:basedOn w:val="Fuentedeprrafopredeter"/>
    <w:link w:val="Piedepgina"/>
    <w:uiPriority w:val="99"/>
    <w:rsid w:val="0020446C"/>
    <w:rPr>
      <w:rFonts w:ascii="Arial" w:eastAsia="Times New Roman" w:hAnsi="Arial"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1017</Characters>
  <Application>Microsoft Office Word</Application>
  <DocSecurity>0</DocSecurity>
  <Lines>22</Lines>
  <Paragraphs>11</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2025-01-09T16:47:00Z</dcterms:created>
  <dcterms:modified xsi:type="dcterms:W3CDTF">2025-01-22T18:44:00Z</dcterms:modified>
</cp:coreProperties>
</file>