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C5E44" w14:textId="2C9679F8" w:rsidR="00DF2935" w:rsidRPr="00E85162" w:rsidRDefault="00DF2935" w:rsidP="00DF2935">
      <w:pPr>
        <w:jc w:val="center"/>
        <w:rPr>
          <w:rFonts w:ascii="Verdana" w:hAnsi="Verdana"/>
          <w:b/>
          <w:u w:val="single"/>
          <w:lang w:val="es-MX"/>
        </w:rPr>
      </w:pPr>
      <w:r w:rsidRPr="006555F3">
        <w:rPr>
          <w:rFonts w:ascii="Verdana" w:hAnsi="Verdana"/>
          <w:b/>
          <w:u w:val="single"/>
          <w:lang w:val="es-MX"/>
        </w:rPr>
        <w:t xml:space="preserve">Caso </w:t>
      </w:r>
      <w:r>
        <w:rPr>
          <w:rFonts w:ascii="Verdana" w:hAnsi="Verdana"/>
          <w:b/>
          <w:u w:val="single"/>
          <w:lang w:val="es-MX"/>
        </w:rPr>
        <w:t>Álvarez</w:t>
      </w:r>
      <w:r w:rsidRPr="006555F3">
        <w:rPr>
          <w:rFonts w:ascii="Verdana" w:hAnsi="Verdana"/>
          <w:b/>
          <w:u w:val="single"/>
          <w:lang w:val="es-MX"/>
        </w:rPr>
        <w:t xml:space="preserve"> </w:t>
      </w:r>
      <w:r w:rsidRPr="006555F3">
        <w:rPr>
          <w:rFonts w:ascii="Verdana" w:hAnsi="Verdana"/>
          <w:b/>
          <w:i/>
          <w:u w:val="single"/>
          <w:lang w:val="es-MX"/>
        </w:rPr>
        <w:t>Vs.</w:t>
      </w:r>
      <w:r w:rsidRPr="006555F3">
        <w:rPr>
          <w:rFonts w:ascii="Verdana" w:hAnsi="Verdana"/>
          <w:b/>
          <w:u w:val="single"/>
          <w:lang w:val="es-MX"/>
        </w:rPr>
        <w:t xml:space="preserve"> Argentina: reparaciones </w:t>
      </w:r>
      <w:r>
        <w:rPr>
          <w:rFonts w:ascii="Verdana" w:hAnsi="Verdana"/>
          <w:b/>
          <w:u w:val="single"/>
          <w:lang w:val="es-MX"/>
        </w:rPr>
        <w:t>pendientes de cumplimiento</w:t>
      </w:r>
    </w:p>
    <w:p w14:paraId="1824B303" w14:textId="3286A5D7" w:rsidR="002C0B9B" w:rsidRPr="00DF2935" w:rsidRDefault="00DF2935" w:rsidP="00DF2935">
      <w:pPr>
        <w:pStyle w:val="Prrafodelista"/>
        <w:numPr>
          <w:ilvl w:val="0"/>
          <w:numId w:val="1"/>
        </w:numPr>
        <w:spacing w:after="0" w:line="240" w:lineRule="auto"/>
        <w:ind w:left="360"/>
        <w:contextualSpacing w:val="0"/>
        <w:jc w:val="both"/>
        <w:rPr>
          <w:rFonts w:ascii="Verdana" w:hAnsi="Verdana"/>
          <w:sz w:val="20"/>
          <w:szCs w:val="20"/>
          <w:lang w:val="es-CR"/>
        </w:rPr>
      </w:pPr>
      <w:r>
        <w:rPr>
          <w:rFonts w:ascii="Verdana" w:hAnsi="Verdana"/>
          <w:sz w:val="20"/>
          <w:szCs w:val="20"/>
          <w:lang w:val="es-ES"/>
        </w:rPr>
        <w:t xml:space="preserve">Llevar a cabo, </w:t>
      </w:r>
      <w:r w:rsidRPr="00DF2935">
        <w:rPr>
          <w:rFonts w:ascii="Verdana" w:hAnsi="Verdana"/>
          <w:sz w:val="20"/>
          <w:szCs w:val="20"/>
          <w:lang w:val="es-ES"/>
        </w:rPr>
        <w:t xml:space="preserve">de ser la voluntad del señor Álvarez, ejerciendo la vía recursiva del artículo 366, inciso f, del Código Procesal Penal Federal, una revisión amplia de la sentencia dictada en su contra y de la condena impuesta, en los términos del párrafo 164 de </w:t>
      </w:r>
      <w:r>
        <w:rPr>
          <w:rFonts w:ascii="Verdana" w:hAnsi="Verdana"/>
          <w:sz w:val="20"/>
          <w:szCs w:val="20"/>
          <w:lang w:val="es-ES"/>
        </w:rPr>
        <w:t>la</w:t>
      </w:r>
      <w:r w:rsidRPr="00DF2935">
        <w:rPr>
          <w:rFonts w:ascii="Verdana" w:hAnsi="Verdana"/>
          <w:sz w:val="20"/>
          <w:szCs w:val="20"/>
          <w:lang w:val="es-ES"/>
        </w:rPr>
        <w:t xml:space="preserve"> Sentencia.</w:t>
      </w:r>
    </w:p>
    <w:p w14:paraId="1E5195E1" w14:textId="77777777" w:rsidR="00DF2935" w:rsidRPr="00DF2935" w:rsidRDefault="00DF2935" w:rsidP="00DF2935">
      <w:pPr>
        <w:pStyle w:val="Prrafodelista"/>
        <w:spacing w:after="0" w:line="240" w:lineRule="auto"/>
        <w:ind w:left="360"/>
        <w:contextualSpacing w:val="0"/>
        <w:jc w:val="both"/>
        <w:rPr>
          <w:rFonts w:ascii="Verdana" w:hAnsi="Verdana"/>
          <w:sz w:val="20"/>
          <w:szCs w:val="20"/>
          <w:lang w:val="es-CR"/>
        </w:rPr>
      </w:pPr>
    </w:p>
    <w:p w14:paraId="2D729378" w14:textId="7996EB23" w:rsidR="00DF2935" w:rsidRDefault="00DF2935" w:rsidP="00DF2935">
      <w:pPr>
        <w:pStyle w:val="Prrafodelista"/>
        <w:numPr>
          <w:ilvl w:val="0"/>
          <w:numId w:val="1"/>
        </w:numPr>
        <w:spacing w:after="0" w:line="240" w:lineRule="auto"/>
        <w:ind w:left="360"/>
        <w:contextualSpacing w:val="0"/>
        <w:jc w:val="both"/>
        <w:rPr>
          <w:rFonts w:ascii="Verdana" w:hAnsi="Verdana"/>
          <w:sz w:val="20"/>
          <w:szCs w:val="20"/>
          <w:lang w:val="es-CR"/>
        </w:rPr>
      </w:pPr>
      <w:r>
        <w:rPr>
          <w:rFonts w:ascii="Verdana" w:hAnsi="Verdana"/>
          <w:sz w:val="20"/>
          <w:szCs w:val="20"/>
          <w:lang w:val="es-CR"/>
        </w:rPr>
        <w:t xml:space="preserve">Realizar </w:t>
      </w:r>
      <w:r w:rsidRPr="00DF2935">
        <w:rPr>
          <w:rFonts w:ascii="Verdana" w:hAnsi="Verdana"/>
          <w:sz w:val="20"/>
          <w:szCs w:val="20"/>
          <w:lang w:val="es-CR"/>
        </w:rPr>
        <w:t>las publicaciones indicadas en los párrafos 167 y 168 de la Sentencia</w:t>
      </w:r>
      <w:r>
        <w:rPr>
          <w:rFonts w:ascii="Verdana" w:hAnsi="Verdana"/>
          <w:sz w:val="20"/>
          <w:szCs w:val="20"/>
          <w:lang w:val="es-CR"/>
        </w:rPr>
        <w:t>.</w:t>
      </w:r>
    </w:p>
    <w:p w14:paraId="1772B0F7" w14:textId="77777777" w:rsidR="00DF2935" w:rsidRPr="00DF2935" w:rsidRDefault="00DF2935" w:rsidP="00DF2935">
      <w:pPr>
        <w:pStyle w:val="Prrafodelista"/>
        <w:rPr>
          <w:rFonts w:ascii="Verdana" w:hAnsi="Verdana"/>
          <w:sz w:val="20"/>
          <w:szCs w:val="20"/>
          <w:lang w:val="es-CR"/>
        </w:rPr>
      </w:pPr>
    </w:p>
    <w:p w14:paraId="57C764CB" w14:textId="122F0442" w:rsidR="00DF2935" w:rsidRPr="00DF2935" w:rsidRDefault="00DF2935" w:rsidP="00DF2935">
      <w:pPr>
        <w:pStyle w:val="Prrafodelista"/>
        <w:numPr>
          <w:ilvl w:val="0"/>
          <w:numId w:val="1"/>
        </w:numPr>
        <w:spacing w:after="0" w:line="240" w:lineRule="auto"/>
        <w:ind w:left="360"/>
        <w:contextualSpacing w:val="0"/>
        <w:jc w:val="both"/>
        <w:rPr>
          <w:rFonts w:ascii="Verdana" w:hAnsi="Verdana"/>
          <w:sz w:val="20"/>
          <w:szCs w:val="20"/>
          <w:lang w:val="es-CR"/>
        </w:rPr>
      </w:pPr>
      <w:r>
        <w:rPr>
          <w:rFonts w:ascii="Verdana" w:hAnsi="Verdana"/>
          <w:sz w:val="20"/>
          <w:szCs w:val="20"/>
          <w:lang w:val="es-CR"/>
        </w:rPr>
        <w:t xml:space="preserve">Pagar </w:t>
      </w:r>
      <w:r w:rsidRPr="00DF2935">
        <w:rPr>
          <w:rFonts w:ascii="Verdana" w:hAnsi="Verdana"/>
          <w:sz w:val="20"/>
          <w:szCs w:val="20"/>
          <w:lang w:val="es-CR"/>
        </w:rPr>
        <w:t>las cantidades fijadas en los párrafos 188 y 190 de la Sentencia por conceptos de indemnizaciones por daño material e inmaterial, respectivamente, en los términos de los párrafos 193 a 198 del Fallo</w:t>
      </w:r>
      <w:r>
        <w:rPr>
          <w:rFonts w:ascii="Verdana" w:hAnsi="Verdana"/>
          <w:sz w:val="20"/>
          <w:szCs w:val="20"/>
          <w:lang w:val="es-CR"/>
        </w:rPr>
        <w:t>.</w:t>
      </w:r>
    </w:p>
    <w:sectPr w:rsidR="00DF2935" w:rsidRPr="00DF2935">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7A773" w14:textId="77777777" w:rsidR="00B96C61" w:rsidRDefault="00B96C61" w:rsidP="003850E5">
      <w:pPr>
        <w:spacing w:after="0" w:line="240" w:lineRule="auto"/>
      </w:pPr>
      <w:r>
        <w:separator/>
      </w:r>
    </w:p>
  </w:endnote>
  <w:endnote w:type="continuationSeparator" w:id="0">
    <w:p w14:paraId="23491593" w14:textId="77777777" w:rsidR="00B96C61" w:rsidRDefault="00B96C61" w:rsidP="00385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9B90" w14:textId="77777777" w:rsidR="003850E5" w:rsidRPr="009B6E42" w:rsidRDefault="003850E5" w:rsidP="003850E5">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807FA0F" w14:textId="77777777" w:rsidR="003850E5" w:rsidRPr="003850E5" w:rsidRDefault="003850E5">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E4EFF" w14:textId="77777777" w:rsidR="00B96C61" w:rsidRDefault="00B96C61" w:rsidP="003850E5">
      <w:pPr>
        <w:spacing w:after="0" w:line="240" w:lineRule="auto"/>
      </w:pPr>
      <w:r>
        <w:separator/>
      </w:r>
    </w:p>
  </w:footnote>
  <w:footnote w:type="continuationSeparator" w:id="0">
    <w:p w14:paraId="1EF193B5" w14:textId="77777777" w:rsidR="00B96C61" w:rsidRDefault="00B96C61" w:rsidP="00385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B0EB7"/>
    <w:multiLevelType w:val="hybridMultilevel"/>
    <w:tmpl w:val="7C126492"/>
    <w:lvl w:ilvl="0" w:tplc="C5B66C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49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35"/>
    <w:rsid w:val="002C0B9B"/>
    <w:rsid w:val="003850E5"/>
    <w:rsid w:val="00430CC8"/>
    <w:rsid w:val="00707DF0"/>
    <w:rsid w:val="0089668B"/>
    <w:rsid w:val="009C497F"/>
    <w:rsid w:val="00AF4881"/>
    <w:rsid w:val="00B96C61"/>
    <w:rsid w:val="00D130B3"/>
    <w:rsid w:val="00DF29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21E1"/>
  <w15:chartTrackingRefBased/>
  <w15:docId w15:val="{C5165514-5C9E-40EB-B945-9DA49D41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35"/>
    <w:pPr>
      <w:spacing w:after="200" w:line="276" w:lineRule="auto"/>
    </w:pPr>
    <w:rPr>
      <w:kern w:val="0"/>
      <w:sz w:val="22"/>
      <w:szCs w:val="22"/>
      <w:lang w:val="en-US"/>
      <w14:ligatures w14:val="none"/>
    </w:rPr>
  </w:style>
  <w:style w:type="paragraph" w:styleId="Ttulo1">
    <w:name w:val="heading 1"/>
    <w:basedOn w:val="Normal"/>
    <w:next w:val="Normal"/>
    <w:link w:val="Ttulo1Car"/>
    <w:uiPriority w:val="9"/>
    <w:qFormat/>
    <w:rsid w:val="00DF29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F29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F293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293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F293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F293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293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293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293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93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F293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F293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F293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F293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F293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293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293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2935"/>
    <w:rPr>
      <w:rFonts w:eastAsiaTheme="majorEastAsia" w:cstheme="majorBidi"/>
      <w:color w:val="272727" w:themeColor="text1" w:themeTint="D8"/>
    </w:rPr>
  </w:style>
  <w:style w:type="paragraph" w:styleId="Ttulo">
    <w:name w:val="Title"/>
    <w:basedOn w:val="Normal"/>
    <w:next w:val="Normal"/>
    <w:link w:val="TtuloCar"/>
    <w:uiPriority w:val="10"/>
    <w:qFormat/>
    <w:rsid w:val="00DF2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29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293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293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2935"/>
    <w:pPr>
      <w:spacing w:before="160"/>
      <w:jc w:val="center"/>
    </w:pPr>
    <w:rPr>
      <w:i/>
      <w:iCs/>
      <w:color w:val="404040" w:themeColor="text1" w:themeTint="BF"/>
    </w:rPr>
  </w:style>
  <w:style w:type="character" w:customStyle="1" w:styleId="CitaCar">
    <w:name w:val="Cita Car"/>
    <w:basedOn w:val="Fuentedeprrafopredeter"/>
    <w:link w:val="Cita"/>
    <w:uiPriority w:val="29"/>
    <w:rsid w:val="00DF2935"/>
    <w:rPr>
      <w:i/>
      <w:iCs/>
      <w:color w:val="404040" w:themeColor="text1" w:themeTint="BF"/>
    </w:rPr>
  </w:style>
  <w:style w:type="paragraph" w:styleId="Prrafodelista">
    <w:name w:val="List Paragraph"/>
    <w:aliases w:val="Footnote,List Paragraph1,Colorful List - Accent 11"/>
    <w:basedOn w:val="Normal"/>
    <w:link w:val="PrrafodelistaCar"/>
    <w:uiPriority w:val="34"/>
    <w:qFormat/>
    <w:rsid w:val="00DF2935"/>
    <w:pPr>
      <w:ind w:left="720"/>
      <w:contextualSpacing/>
    </w:pPr>
  </w:style>
  <w:style w:type="character" w:styleId="nfasisintenso">
    <w:name w:val="Intense Emphasis"/>
    <w:basedOn w:val="Fuentedeprrafopredeter"/>
    <w:uiPriority w:val="21"/>
    <w:qFormat/>
    <w:rsid w:val="00DF2935"/>
    <w:rPr>
      <w:i/>
      <w:iCs/>
      <w:color w:val="0F4761" w:themeColor="accent1" w:themeShade="BF"/>
    </w:rPr>
  </w:style>
  <w:style w:type="paragraph" w:styleId="Citadestacada">
    <w:name w:val="Intense Quote"/>
    <w:basedOn w:val="Normal"/>
    <w:next w:val="Normal"/>
    <w:link w:val="CitadestacadaCar"/>
    <w:uiPriority w:val="30"/>
    <w:qFormat/>
    <w:rsid w:val="00DF29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2935"/>
    <w:rPr>
      <w:i/>
      <w:iCs/>
      <w:color w:val="0F4761" w:themeColor="accent1" w:themeShade="BF"/>
    </w:rPr>
  </w:style>
  <w:style w:type="character" w:styleId="Referenciaintensa">
    <w:name w:val="Intense Reference"/>
    <w:basedOn w:val="Fuentedeprrafopredeter"/>
    <w:uiPriority w:val="32"/>
    <w:qFormat/>
    <w:rsid w:val="00DF2935"/>
    <w:rPr>
      <w:b/>
      <w:bCs/>
      <w:smallCaps/>
      <w:color w:val="0F4761" w:themeColor="accent1" w:themeShade="BF"/>
      <w:spacing w:val="5"/>
    </w:rPr>
  </w:style>
  <w:style w:type="character" w:customStyle="1" w:styleId="PrrafodelistaCar">
    <w:name w:val="Párrafo de lista Car"/>
    <w:aliases w:val="Footnote Car,List Paragraph1 Car,Colorful List - Accent 11 Car"/>
    <w:basedOn w:val="Fuentedeprrafopredeter"/>
    <w:link w:val="Prrafodelista"/>
    <w:uiPriority w:val="34"/>
    <w:locked/>
    <w:rsid w:val="00DF2935"/>
  </w:style>
  <w:style w:type="paragraph" w:styleId="Encabezado">
    <w:name w:val="header"/>
    <w:basedOn w:val="Normal"/>
    <w:link w:val="EncabezadoCar"/>
    <w:uiPriority w:val="99"/>
    <w:unhideWhenUsed/>
    <w:rsid w:val="003850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50E5"/>
    <w:rPr>
      <w:kern w:val="0"/>
      <w:sz w:val="22"/>
      <w:szCs w:val="22"/>
      <w:lang w:val="en-US"/>
      <w14:ligatures w14:val="none"/>
    </w:rPr>
  </w:style>
  <w:style w:type="paragraph" w:styleId="Piedepgina">
    <w:name w:val="footer"/>
    <w:basedOn w:val="Normal"/>
    <w:link w:val="PiedepginaCar"/>
    <w:uiPriority w:val="99"/>
    <w:unhideWhenUsed/>
    <w:rsid w:val="003850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50E5"/>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529</Characters>
  <Application>Microsoft Office Word</Application>
  <DocSecurity>0</DocSecurity>
  <Lines>8</Lines>
  <Paragraphs>3</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Genesis Ugalde</cp:lastModifiedBy>
  <cp:revision>3</cp:revision>
  <dcterms:created xsi:type="dcterms:W3CDTF">2024-12-20T23:24:00Z</dcterms:created>
  <dcterms:modified xsi:type="dcterms:W3CDTF">2025-01-22T18:35:00Z</dcterms:modified>
</cp:coreProperties>
</file>