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5B00D" w14:textId="17554CF1" w:rsidR="00290A20" w:rsidRPr="005F6498" w:rsidRDefault="00290A20" w:rsidP="00290A20">
      <w:pPr>
        <w:spacing w:before="120"/>
        <w:ind w:right="49"/>
        <w:jc w:val="center"/>
        <w:rPr>
          <w:rFonts w:cs="Verdana Bold"/>
          <w:b/>
          <w:bCs/>
          <w:caps/>
          <w:szCs w:val="20"/>
        </w:rPr>
      </w:pPr>
      <w:bookmarkStart w:id="0" w:name="_Hlk56083863"/>
      <w:bookmarkStart w:id="1" w:name="_Hlk50038511"/>
      <w:r w:rsidRPr="005F6498">
        <w:rPr>
          <w:rFonts w:cs="Verdana Bold"/>
          <w:b/>
          <w:bCs/>
          <w:caps/>
          <w:szCs w:val="20"/>
        </w:rPr>
        <w:t>Resolución de lA</w:t>
      </w:r>
    </w:p>
    <w:p w14:paraId="726FA6FB" w14:textId="77777777" w:rsidR="00290A20" w:rsidRPr="005F6498" w:rsidRDefault="00290A20" w:rsidP="00290A20">
      <w:pPr>
        <w:spacing w:before="120"/>
        <w:ind w:right="-316"/>
        <w:jc w:val="center"/>
        <w:rPr>
          <w:rFonts w:cs="Verdana Bold"/>
          <w:b/>
          <w:bCs/>
          <w:caps/>
          <w:szCs w:val="20"/>
        </w:rPr>
      </w:pPr>
      <w:r w:rsidRPr="005F6498">
        <w:rPr>
          <w:rFonts w:cs="Verdana Bold"/>
          <w:b/>
          <w:bCs/>
          <w:caps/>
          <w:szCs w:val="20"/>
        </w:rPr>
        <w:t>Corte Interamericana de Derechos Humanos</w:t>
      </w:r>
    </w:p>
    <w:p w14:paraId="4065D73B" w14:textId="77777777" w:rsidR="00290A20" w:rsidRPr="005F6498" w:rsidRDefault="00290A20" w:rsidP="00290A20">
      <w:pPr>
        <w:spacing w:before="120"/>
        <w:ind w:right="-316"/>
        <w:rPr>
          <w:rFonts w:cs="Verdana Bold"/>
          <w:b/>
          <w:bCs/>
          <w:caps/>
          <w:szCs w:val="20"/>
        </w:rPr>
      </w:pPr>
    </w:p>
    <w:p w14:paraId="1DFEC994" w14:textId="72363EEA" w:rsidR="00290A20" w:rsidRPr="005F6498" w:rsidRDefault="00290A20" w:rsidP="00290A20">
      <w:pPr>
        <w:spacing w:before="120"/>
        <w:ind w:right="49"/>
        <w:jc w:val="center"/>
        <w:rPr>
          <w:rFonts w:cs="Verdana Bold"/>
          <w:b/>
          <w:bCs/>
          <w:caps/>
          <w:szCs w:val="20"/>
        </w:rPr>
      </w:pPr>
      <w:r w:rsidRPr="005F6498">
        <w:rPr>
          <w:rFonts w:cs="Verdana Bold"/>
          <w:b/>
          <w:bCs/>
          <w:caps/>
          <w:szCs w:val="20"/>
        </w:rPr>
        <w:t xml:space="preserve">dE </w:t>
      </w:r>
      <w:r w:rsidR="0003477E">
        <w:rPr>
          <w:rFonts w:cs="Verdana Bold"/>
          <w:b/>
          <w:bCs/>
          <w:caps/>
          <w:szCs w:val="20"/>
        </w:rPr>
        <w:t>12</w:t>
      </w:r>
      <w:r w:rsidRPr="005F6498">
        <w:rPr>
          <w:rFonts w:cs="Verdana Bold"/>
          <w:b/>
          <w:bCs/>
          <w:caps/>
          <w:szCs w:val="20"/>
        </w:rPr>
        <w:t xml:space="preserve"> DE </w:t>
      </w:r>
      <w:r w:rsidR="0003477E">
        <w:rPr>
          <w:rFonts w:cs="Verdana Bold"/>
          <w:b/>
          <w:bCs/>
          <w:caps/>
          <w:szCs w:val="20"/>
        </w:rPr>
        <w:t>NOVIEMBRE</w:t>
      </w:r>
      <w:r w:rsidRPr="005F6498">
        <w:rPr>
          <w:rFonts w:cs="Verdana Bold"/>
          <w:b/>
          <w:bCs/>
          <w:caps/>
          <w:szCs w:val="20"/>
        </w:rPr>
        <w:t xml:space="preserve"> de </w:t>
      </w:r>
      <w:r w:rsidR="005A2461" w:rsidRPr="005F6498">
        <w:rPr>
          <w:rFonts w:cs="Verdana Bold"/>
          <w:b/>
          <w:bCs/>
          <w:caps/>
          <w:szCs w:val="20"/>
        </w:rPr>
        <w:t>2020</w:t>
      </w:r>
    </w:p>
    <w:p w14:paraId="5287EFC2" w14:textId="77777777" w:rsidR="00290A20" w:rsidRPr="005F6498" w:rsidRDefault="00290A20" w:rsidP="00290A20">
      <w:pPr>
        <w:spacing w:before="120"/>
        <w:ind w:right="-316"/>
        <w:rPr>
          <w:rFonts w:cs="Verdana Bold"/>
          <w:b/>
          <w:bCs/>
          <w:caps/>
          <w:szCs w:val="20"/>
        </w:rPr>
      </w:pPr>
    </w:p>
    <w:p w14:paraId="4405B9C5" w14:textId="227DE959" w:rsidR="00290A20" w:rsidRPr="005F6498" w:rsidRDefault="00290A20" w:rsidP="00290A20">
      <w:pPr>
        <w:spacing w:before="120"/>
        <w:ind w:right="49"/>
        <w:jc w:val="center"/>
        <w:rPr>
          <w:rFonts w:cs="Verdana Bold"/>
          <w:b/>
          <w:bCs/>
          <w:caps/>
          <w:szCs w:val="20"/>
        </w:rPr>
      </w:pPr>
      <w:r w:rsidRPr="005F6498">
        <w:rPr>
          <w:rFonts w:cs="Verdana Bold"/>
          <w:b/>
          <w:bCs/>
          <w:caps/>
          <w:szCs w:val="20"/>
        </w:rPr>
        <w:t xml:space="preserve">CASO VICKY HERNANDEZ y OTROS Vs. </w:t>
      </w:r>
      <w:r w:rsidR="005A2461" w:rsidRPr="005F6498">
        <w:rPr>
          <w:rFonts w:cs="Verdana Bold"/>
          <w:b/>
          <w:bCs/>
          <w:caps/>
          <w:szCs w:val="20"/>
        </w:rPr>
        <w:t>HONDURAS</w:t>
      </w:r>
    </w:p>
    <w:p w14:paraId="2AB4A1AB" w14:textId="690E9B8C" w:rsidR="00290A20" w:rsidRPr="005F6498" w:rsidRDefault="00A5647B" w:rsidP="00290A20">
      <w:pPr>
        <w:spacing w:before="120"/>
        <w:ind w:right="49"/>
        <w:jc w:val="center"/>
        <w:rPr>
          <w:b/>
          <w:caps/>
          <w:szCs w:val="20"/>
        </w:rPr>
      </w:pPr>
      <w:r>
        <w:rPr>
          <w:b/>
          <w:caps/>
          <w:szCs w:val="20"/>
        </w:rPr>
        <w:t xml:space="preserve">ADOPCIÓN DE </w:t>
      </w:r>
      <w:r w:rsidR="0003477E">
        <w:rPr>
          <w:b/>
          <w:caps/>
          <w:szCs w:val="20"/>
        </w:rPr>
        <w:t>medidas provisionales</w:t>
      </w:r>
    </w:p>
    <w:p w14:paraId="27DF17B4" w14:textId="63B2ADA3" w:rsidR="00F00EE7" w:rsidRPr="005F6498" w:rsidRDefault="00F00EE7">
      <w:pPr>
        <w:rPr>
          <w:szCs w:val="20"/>
        </w:rPr>
      </w:pPr>
    </w:p>
    <w:p w14:paraId="68413589" w14:textId="77777777" w:rsidR="005A2461" w:rsidRPr="005F6498" w:rsidRDefault="005A2461" w:rsidP="005A2461">
      <w:pPr>
        <w:autoSpaceDE w:val="0"/>
        <w:autoSpaceDN w:val="0"/>
        <w:adjustRightInd w:val="0"/>
        <w:spacing w:before="360" w:after="360"/>
        <w:jc w:val="left"/>
        <w:rPr>
          <w:rFonts w:cs="Verdana"/>
          <w:b/>
          <w:bCs/>
          <w:caps/>
          <w:szCs w:val="20"/>
        </w:rPr>
      </w:pPr>
      <w:r w:rsidRPr="005F6498">
        <w:rPr>
          <w:rFonts w:eastAsia="Times New Roman" w:cs="Verdana"/>
          <w:b/>
          <w:bCs/>
          <w:szCs w:val="20"/>
          <w:lang w:eastAsia="en-US"/>
        </w:rPr>
        <w:t>VISTO</w:t>
      </w:r>
      <w:r w:rsidRPr="005F6498">
        <w:rPr>
          <w:rFonts w:cs="Verdana"/>
          <w:b/>
          <w:bCs/>
          <w:caps/>
          <w:szCs w:val="20"/>
        </w:rPr>
        <w:t>:</w:t>
      </w:r>
    </w:p>
    <w:p w14:paraId="334F2E09" w14:textId="28C44F82" w:rsidR="00C442D8" w:rsidRPr="005F6498" w:rsidRDefault="005A2461" w:rsidP="00C442D8">
      <w:pPr>
        <w:pStyle w:val="Prrafodelista"/>
        <w:numPr>
          <w:ilvl w:val="0"/>
          <w:numId w:val="12"/>
        </w:numPr>
        <w:spacing w:before="120"/>
        <w:ind w:left="0" w:firstLine="0"/>
        <w:contextualSpacing w:val="0"/>
        <w:rPr>
          <w:szCs w:val="20"/>
        </w:rPr>
      </w:pPr>
      <w:bookmarkStart w:id="2" w:name="_Ref393297742"/>
      <w:bookmarkStart w:id="3" w:name="_Ref352676460"/>
      <w:r w:rsidRPr="005F6498">
        <w:rPr>
          <w:szCs w:val="20"/>
        </w:rPr>
        <w:t>El escrito de sometimiento del caso y el Informe de Fondo de la Comisión Interamericana de Derechos Humanos (en adelante “la Comisión Interamericana” o “la Comisión”)</w:t>
      </w:r>
      <w:bookmarkEnd w:id="2"/>
      <w:r w:rsidRPr="005F6498">
        <w:rPr>
          <w:szCs w:val="20"/>
        </w:rPr>
        <w:t xml:space="preserve">; </w:t>
      </w:r>
      <w:bookmarkStart w:id="4" w:name="_Ref393297751"/>
      <w:bookmarkStart w:id="5" w:name="_Ref351983508"/>
      <w:bookmarkEnd w:id="3"/>
      <w:r w:rsidRPr="005F6498">
        <w:rPr>
          <w:szCs w:val="20"/>
        </w:rPr>
        <w:t xml:space="preserve">el escrito de solicitudes, argumentos y pruebas (en adelante el “escrito de solicitudes y argumentos”) </w:t>
      </w:r>
      <w:r w:rsidRPr="005F6498">
        <w:rPr>
          <w:szCs w:val="20"/>
          <w:lang w:eastAsia="en-US"/>
        </w:rPr>
        <w:t>de l</w:t>
      </w:r>
      <w:r w:rsidR="00FC2FA3">
        <w:rPr>
          <w:szCs w:val="20"/>
          <w:lang w:eastAsia="en-US"/>
        </w:rPr>
        <w:t>a</w:t>
      </w:r>
      <w:r w:rsidRPr="005F6498">
        <w:rPr>
          <w:szCs w:val="20"/>
          <w:lang w:eastAsia="en-US"/>
        </w:rPr>
        <w:t>s representantes</w:t>
      </w:r>
      <w:r w:rsidRPr="005F6498">
        <w:rPr>
          <w:rStyle w:val="Refdenotaalpie"/>
          <w:szCs w:val="20"/>
          <w:lang w:eastAsia="en-US"/>
        </w:rPr>
        <w:t xml:space="preserve"> </w:t>
      </w:r>
      <w:r w:rsidRPr="005F6498">
        <w:rPr>
          <w:szCs w:val="20"/>
          <w:lang w:eastAsia="en-US"/>
        </w:rPr>
        <w:t>de las presuntas víctimas</w:t>
      </w:r>
      <w:r w:rsidRPr="005F6498">
        <w:rPr>
          <w:szCs w:val="20"/>
        </w:rPr>
        <w:t xml:space="preserve"> (en adelante “l</w:t>
      </w:r>
      <w:r w:rsidR="00FC2FA3">
        <w:rPr>
          <w:szCs w:val="20"/>
        </w:rPr>
        <w:t>a</w:t>
      </w:r>
      <w:r w:rsidRPr="005F6498">
        <w:rPr>
          <w:szCs w:val="20"/>
        </w:rPr>
        <w:t xml:space="preserve">s representantes”), y </w:t>
      </w:r>
      <w:bookmarkEnd w:id="4"/>
      <w:bookmarkEnd w:id="5"/>
      <w:r w:rsidRPr="005F6498">
        <w:rPr>
          <w:szCs w:val="20"/>
        </w:rPr>
        <w:t xml:space="preserve">el escrito de contestación al sometimiento del caso y al escrito de solicitudes y argumentos (en adelante “escrito de contestación”) del Estado </w:t>
      </w:r>
      <w:r w:rsidR="00EE42CC" w:rsidRPr="005F6498">
        <w:rPr>
          <w:szCs w:val="20"/>
        </w:rPr>
        <w:t>de Honduras (en adelante “Honduras” o “el Estado”</w:t>
      </w:r>
      <w:r w:rsidR="00D70C65" w:rsidRPr="005F6498">
        <w:rPr>
          <w:szCs w:val="20"/>
        </w:rPr>
        <w:t>)</w:t>
      </w:r>
      <w:r w:rsidR="00EE42CC" w:rsidRPr="005F6498">
        <w:rPr>
          <w:szCs w:val="20"/>
        </w:rPr>
        <w:t>.</w:t>
      </w:r>
    </w:p>
    <w:p w14:paraId="22D7DE93" w14:textId="51D81C48" w:rsidR="0003477E" w:rsidRDefault="0003477E" w:rsidP="00E37F21">
      <w:pPr>
        <w:pStyle w:val="Prrafodelista"/>
        <w:numPr>
          <w:ilvl w:val="0"/>
          <w:numId w:val="12"/>
        </w:numPr>
        <w:spacing w:before="120"/>
        <w:ind w:left="0" w:firstLine="0"/>
        <w:contextualSpacing w:val="0"/>
        <w:rPr>
          <w:szCs w:val="20"/>
        </w:rPr>
      </w:pPr>
      <w:r>
        <w:rPr>
          <w:szCs w:val="20"/>
        </w:rPr>
        <w:t xml:space="preserve">La Resolución de la </w:t>
      </w:r>
      <w:proofErr w:type="gramStart"/>
      <w:r>
        <w:rPr>
          <w:szCs w:val="20"/>
        </w:rPr>
        <w:t>Presidenta</w:t>
      </w:r>
      <w:proofErr w:type="gramEnd"/>
      <w:r>
        <w:rPr>
          <w:szCs w:val="20"/>
        </w:rPr>
        <w:t xml:space="preserve"> de la Corte Interamericana de Derechos Humanos de 1 de septiembre de 2020</w:t>
      </w:r>
      <w:r w:rsidR="00A5647B">
        <w:rPr>
          <w:szCs w:val="20"/>
        </w:rPr>
        <w:t>,</w:t>
      </w:r>
      <w:r>
        <w:rPr>
          <w:szCs w:val="20"/>
        </w:rPr>
        <w:t xml:space="preserve"> mediante la cual convocó a las partes y a la Comisión </w:t>
      </w:r>
      <w:r w:rsidRPr="0003477E">
        <w:rPr>
          <w:szCs w:val="20"/>
        </w:rPr>
        <w:t>a una audiencia pública sobre el fondo, y las eventuales reparaciones y costas</w:t>
      </w:r>
      <w:r>
        <w:rPr>
          <w:szCs w:val="20"/>
        </w:rPr>
        <w:t xml:space="preserve"> en el presente caso</w:t>
      </w:r>
      <w:r w:rsidR="00E37F21" w:rsidRPr="005F6498">
        <w:rPr>
          <w:szCs w:val="20"/>
        </w:rPr>
        <w:t>.</w:t>
      </w:r>
    </w:p>
    <w:p w14:paraId="641E98CB" w14:textId="67445503" w:rsidR="00634275" w:rsidRDefault="00634275" w:rsidP="0003477E">
      <w:pPr>
        <w:pStyle w:val="Prrafodelista"/>
        <w:numPr>
          <w:ilvl w:val="0"/>
          <w:numId w:val="12"/>
        </w:numPr>
        <w:spacing w:before="120"/>
        <w:ind w:left="0" w:firstLine="0"/>
        <w:contextualSpacing w:val="0"/>
        <w:rPr>
          <w:szCs w:val="20"/>
        </w:rPr>
      </w:pPr>
      <w:r w:rsidRPr="00763873">
        <w:rPr>
          <w:szCs w:val="20"/>
        </w:rPr>
        <w:t xml:space="preserve">La audiencia pública sobre el fondo, y las eventuales reparaciones y costas que tuvo lugar </w:t>
      </w:r>
      <w:r>
        <w:rPr>
          <w:szCs w:val="20"/>
        </w:rPr>
        <w:t xml:space="preserve">de forma virtual </w:t>
      </w:r>
      <w:r w:rsidRPr="00763873">
        <w:rPr>
          <w:szCs w:val="20"/>
        </w:rPr>
        <w:t xml:space="preserve">los días 11 y 12 de noviembre de 2020 durante el 138 Período Ordinario de Sesiones de la Corte. </w:t>
      </w:r>
    </w:p>
    <w:p w14:paraId="62647A53" w14:textId="1BC0D8F5" w:rsidR="0003477E" w:rsidRPr="005F6498" w:rsidRDefault="0003477E" w:rsidP="00F438FB">
      <w:pPr>
        <w:pStyle w:val="Prrafodelista"/>
        <w:numPr>
          <w:ilvl w:val="0"/>
          <w:numId w:val="12"/>
        </w:numPr>
        <w:spacing w:before="120"/>
        <w:ind w:left="0" w:firstLine="0"/>
        <w:contextualSpacing w:val="0"/>
        <w:rPr>
          <w:szCs w:val="20"/>
        </w:rPr>
      </w:pPr>
      <w:r>
        <w:rPr>
          <w:szCs w:val="20"/>
        </w:rPr>
        <w:t xml:space="preserve">El escrito de 11 de noviembre </w:t>
      </w:r>
      <w:r w:rsidR="00A5647B">
        <w:rPr>
          <w:szCs w:val="20"/>
        </w:rPr>
        <w:t xml:space="preserve">de 2020, </w:t>
      </w:r>
      <w:r>
        <w:rPr>
          <w:szCs w:val="20"/>
        </w:rPr>
        <w:t xml:space="preserve">mediante </w:t>
      </w:r>
      <w:r w:rsidRPr="0003477E">
        <w:rPr>
          <w:szCs w:val="20"/>
        </w:rPr>
        <w:t>el cual l</w:t>
      </w:r>
      <w:r>
        <w:rPr>
          <w:szCs w:val="20"/>
        </w:rPr>
        <w:t>a</w:t>
      </w:r>
      <w:r w:rsidRPr="0003477E">
        <w:rPr>
          <w:szCs w:val="20"/>
        </w:rPr>
        <w:t xml:space="preserve">s representantes </w:t>
      </w:r>
      <w:r>
        <w:rPr>
          <w:szCs w:val="20"/>
        </w:rPr>
        <w:t xml:space="preserve">de las presuntas víctimas </w:t>
      </w:r>
      <w:r w:rsidRPr="0003477E">
        <w:rPr>
          <w:szCs w:val="20"/>
        </w:rPr>
        <w:t>informaron que mientras se encontraba en desarrollo la audiencia pública en el presente caso,</w:t>
      </w:r>
      <w:r>
        <w:rPr>
          <w:szCs w:val="20"/>
        </w:rPr>
        <w:t xml:space="preserve"> </w:t>
      </w:r>
      <w:r w:rsidRPr="0003477E">
        <w:rPr>
          <w:szCs w:val="20"/>
        </w:rPr>
        <w:t>la madre de Vicky Hernández recibió llamadas telefónicas de una persona que se identificó como representante de la Policía Nacional de Honduras</w:t>
      </w:r>
      <w:r>
        <w:rPr>
          <w:szCs w:val="20"/>
        </w:rPr>
        <w:t>.</w:t>
      </w:r>
      <w:r w:rsidR="00F438FB">
        <w:rPr>
          <w:szCs w:val="20"/>
        </w:rPr>
        <w:t xml:space="preserve"> En el transcurso de la audiencia pública informaron que </w:t>
      </w:r>
      <w:r w:rsidR="00F438FB" w:rsidRPr="00F438FB">
        <w:rPr>
          <w:szCs w:val="20"/>
        </w:rPr>
        <w:t>una integrante de la organización Red Lésbica “</w:t>
      </w:r>
      <w:proofErr w:type="spellStart"/>
      <w:r w:rsidR="00F438FB" w:rsidRPr="00F438FB">
        <w:rPr>
          <w:szCs w:val="20"/>
        </w:rPr>
        <w:t>Cattrachas</w:t>
      </w:r>
      <w:proofErr w:type="spellEnd"/>
      <w:r w:rsidR="00F438FB" w:rsidRPr="00F438FB">
        <w:rPr>
          <w:szCs w:val="20"/>
        </w:rPr>
        <w:t>” había sido increpada e insultada en la calle</w:t>
      </w:r>
      <w:r w:rsidR="00F438FB">
        <w:rPr>
          <w:szCs w:val="20"/>
        </w:rPr>
        <w:t>.</w:t>
      </w:r>
    </w:p>
    <w:p w14:paraId="58731213" w14:textId="1575E69A" w:rsidR="00EE42CC" w:rsidRPr="00763873" w:rsidRDefault="0003477E" w:rsidP="00E37F21">
      <w:pPr>
        <w:pStyle w:val="Prrafodelista"/>
        <w:numPr>
          <w:ilvl w:val="0"/>
          <w:numId w:val="12"/>
        </w:numPr>
        <w:spacing w:before="120"/>
        <w:ind w:left="0" w:firstLine="0"/>
        <w:contextualSpacing w:val="0"/>
        <w:rPr>
          <w:szCs w:val="20"/>
        </w:rPr>
      </w:pPr>
      <w:r w:rsidRPr="00763873">
        <w:rPr>
          <w:szCs w:val="20"/>
        </w:rPr>
        <w:t>El día 12 de noviembre, las representantes presentaron durante la audi</w:t>
      </w:r>
      <w:r w:rsidR="005D5E06">
        <w:rPr>
          <w:szCs w:val="20"/>
        </w:rPr>
        <w:t>encia pública una solicitud de medidas p</w:t>
      </w:r>
      <w:r w:rsidRPr="00763873">
        <w:rPr>
          <w:szCs w:val="20"/>
        </w:rPr>
        <w:t xml:space="preserve">rovisionales para </w:t>
      </w:r>
      <w:r w:rsidR="00D93C37" w:rsidRPr="00763873">
        <w:rPr>
          <w:szCs w:val="20"/>
        </w:rPr>
        <w:t>que se ordene</w:t>
      </w:r>
      <w:r w:rsidR="008C3983">
        <w:rPr>
          <w:szCs w:val="20"/>
        </w:rPr>
        <w:t xml:space="preserve"> al Estado</w:t>
      </w:r>
      <w:r w:rsidR="00D93C37" w:rsidRPr="00763873">
        <w:rPr>
          <w:szCs w:val="20"/>
        </w:rPr>
        <w:t xml:space="preserve"> </w:t>
      </w:r>
      <w:r w:rsidR="008C3983">
        <w:rPr>
          <w:szCs w:val="20"/>
        </w:rPr>
        <w:t>adoptar</w:t>
      </w:r>
      <w:r w:rsidR="008C3983" w:rsidRPr="00763873">
        <w:rPr>
          <w:szCs w:val="20"/>
        </w:rPr>
        <w:t xml:space="preserve"> </w:t>
      </w:r>
      <w:r w:rsidR="00D93C37" w:rsidRPr="00763873">
        <w:rPr>
          <w:szCs w:val="20"/>
        </w:rPr>
        <w:t>las medidas necesarias y adecuadas para proteger efectivamente los derechos a la vida e integridad personal</w:t>
      </w:r>
      <w:r w:rsidRPr="00763873">
        <w:rPr>
          <w:szCs w:val="20"/>
        </w:rPr>
        <w:t xml:space="preserve"> </w:t>
      </w:r>
      <w:r w:rsidR="00D93C37" w:rsidRPr="00763873">
        <w:rPr>
          <w:szCs w:val="20"/>
        </w:rPr>
        <w:t xml:space="preserve">de todos los familiares de Vicky </w:t>
      </w:r>
      <w:r w:rsidR="00340862" w:rsidRPr="00763873">
        <w:rPr>
          <w:szCs w:val="20"/>
        </w:rPr>
        <w:t>Hernández,</w:t>
      </w:r>
      <w:r w:rsidR="00D93C37" w:rsidRPr="00763873">
        <w:rPr>
          <w:szCs w:val="20"/>
        </w:rPr>
        <w:t xml:space="preserve"> así como l</w:t>
      </w:r>
      <w:r w:rsidR="00EB5DB0">
        <w:rPr>
          <w:szCs w:val="20"/>
        </w:rPr>
        <w:t>a</w:t>
      </w:r>
      <w:r w:rsidR="00D93C37" w:rsidRPr="00763873">
        <w:rPr>
          <w:szCs w:val="20"/>
        </w:rPr>
        <w:t xml:space="preserve">s integrantes de la organización </w:t>
      </w:r>
      <w:r w:rsidR="00A45F7F" w:rsidRPr="00A45F7F">
        <w:rPr>
          <w:szCs w:val="20"/>
        </w:rPr>
        <w:t>Red Lésbica “</w:t>
      </w:r>
      <w:proofErr w:type="spellStart"/>
      <w:r w:rsidR="00A45F7F" w:rsidRPr="00A45F7F">
        <w:rPr>
          <w:szCs w:val="20"/>
        </w:rPr>
        <w:t>Cattrachas</w:t>
      </w:r>
      <w:proofErr w:type="spellEnd"/>
      <w:r w:rsidR="00A45F7F" w:rsidRPr="00A45F7F">
        <w:rPr>
          <w:szCs w:val="20"/>
        </w:rPr>
        <w:t>”</w:t>
      </w:r>
      <w:r w:rsidR="00D93C37" w:rsidRPr="00763873">
        <w:rPr>
          <w:szCs w:val="20"/>
        </w:rPr>
        <w:t xml:space="preserve"> la cual se encuentra litigan</w:t>
      </w:r>
      <w:r w:rsidR="00763873" w:rsidRPr="00763873">
        <w:rPr>
          <w:szCs w:val="20"/>
        </w:rPr>
        <w:t>do</w:t>
      </w:r>
      <w:r w:rsidR="00D93C37" w:rsidRPr="00763873">
        <w:rPr>
          <w:szCs w:val="20"/>
        </w:rPr>
        <w:t xml:space="preserve"> el caso ante la Corte.</w:t>
      </w:r>
    </w:p>
    <w:p w14:paraId="3F20A9DC" w14:textId="77777777" w:rsidR="00763873" w:rsidRDefault="00763873" w:rsidP="00E37F21">
      <w:pPr>
        <w:pStyle w:val="Prrafodelista"/>
        <w:numPr>
          <w:ilvl w:val="0"/>
          <w:numId w:val="12"/>
        </w:numPr>
        <w:spacing w:before="120"/>
        <w:ind w:left="0" w:firstLine="0"/>
        <w:contextualSpacing w:val="0"/>
        <w:rPr>
          <w:szCs w:val="20"/>
        </w:rPr>
      </w:pPr>
      <w:r>
        <w:rPr>
          <w:szCs w:val="20"/>
        </w:rPr>
        <w:t>Durante la audiencia, el Estado reconoció que un integrante de la Policía Nacional se comunicó con la madre de Vicky Hernández, aunque indicó que no lo hizo con carácter amenazante.</w:t>
      </w:r>
    </w:p>
    <w:p w14:paraId="4FD93CD2" w14:textId="34BC6003" w:rsidR="00763873" w:rsidRDefault="00763873" w:rsidP="00E37F21">
      <w:pPr>
        <w:pStyle w:val="Prrafodelista"/>
        <w:numPr>
          <w:ilvl w:val="0"/>
          <w:numId w:val="12"/>
        </w:numPr>
        <w:spacing w:before="120"/>
        <w:ind w:left="0" w:firstLine="0"/>
        <w:contextualSpacing w:val="0"/>
        <w:rPr>
          <w:szCs w:val="20"/>
        </w:rPr>
      </w:pPr>
      <w:r>
        <w:rPr>
          <w:szCs w:val="20"/>
        </w:rPr>
        <w:t>La Comisión adhirió a la solicitud de las representantes en todos sus términos.</w:t>
      </w:r>
    </w:p>
    <w:p w14:paraId="72538B1D" w14:textId="77777777" w:rsidR="00F071B2" w:rsidRPr="005F6498" w:rsidRDefault="00F071B2" w:rsidP="00F071B2">
      <w:pPr>
        <w:autoSpaceDE w:val="0"/>
        <w:autoSpaceDN w:val="0"/>
        <w:adjustRightInd w:val="0"/>
        <w:spacing w:before="360" w:after="360"/>
        <w:jc w:val="left"/>
        <w:rPr>
          <w:rFonts w:eastAsia="Times New Roman" w:cs="Verdana"/>
          <w:b/>
          <w:bCs/>
          <w:szCs w:val="20"/>
          <w:lang w:eastAsia="en-US"/>
        </w:rPr>
      </w:pPr>
      <w:r w:rsidRPr="005F6498">
        <w:rPr>
          <w:rFonts w:eastAsia="Times New Roman" w:cs="Verdana"/>
          <w:b/>
          <w:bCs/>
          <w:szCs w:val="20"/>
          <w:lang w:eastAsia="en-US"/>
        </w:rPr>
        <w:t>CONSIDERANDO QUE:</w:t>
      </w:r>
    </w:p>
    <w:p w14:paraId="6A36715B" w14:textId="1A0D14C3" w:rsidR="00D93C37" w:rsidRPr="00D93C37" w:rsidRDefault="00D93C37" w:rsidP="00A353B7">
      <w:pPr>
        <w:pStyle w:val="Prrafodelista"/>
        <w:numPr>
          <w:ilvl w:val="0"/>
          <w:numId w:val="12"/>
        </w:numPr>
        <w:spacing w:before="120"/>
        <w:ind w:left="0" w:firstLine="0"/>
        <w:contextualSpacing w:val="0"/>
        <w:rPr>
          <w:szCs w:val="20"/>
        </w:rPr>
      </w:pPr>
      <w:r w:rsidRPr="00D93C37">
        <w:rPr>
          <w:szCs w:val="20"/>
        </w:rPr>
        <w:t xml:space="preserve">El artículo 63.2 de la Convención Americana sobre Derechos Humanos (en adelante “la Convención Americana” o “la Convención”) dispone, en lo relevante, que “[e]n casos de </w:t>
      </w:r>
      <w:bookmarkEnd w:id="0"/>
      <w:r w:rsidRPr="00D93C37">
        <w:rPr>
          <w:szCs w:val="20"/>
        </w:rPr>
        <w:lastRenderedPageBreak/>
        <w:t>extrema gravedad y urgencia, y cuando se haga necesario evitar daños irreparables a las personas, la Corte, en los asuntos que esté conociendo, podrá tomar las medidas provisionales que considere pertinentes”.</w:t>
      </w:r>
      <w:r>
        <w:rPr>
          <w:szCs w:val="20"/>
        </w:rPr>
        <w:t xml:space="preserve"> </w:t>
      </w:r>
      <w:r w:rsidRPr="00D93C37">
        <w:rPr>
          <w:szCs w:val="20"/>
        </w:rPr>
        <w:t xml:space="preserve">Asimismo, el artículo 27.3 del Reglamento del Tribunal (en adelante “el Reglamento”)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 </w:t>
      </w:r>
    </w:p>
    <w:p w14:paraId="3F632726" w14:textId="16C83DF7" w:rsidR="00A353B7" w:rsidRDefault="00A353B7" w:rsidP="005D5E06">
      <w:pPr>
        <w:pStyle w:val="Prrafodelista"/>
        <w:numPr>
          <w:ilvl w:val="0"/>
          <w:numId w:val="12"/>
        </w:numPr>
        <w:spacing w:before="120"/>
        <w:ind w:left="0" w:firstLine="0"/>
        <w:contextualSpacing w:val="0"/>
        <w:rPr>
          <w:szCs w:val="20"/>
        </w:rPr>
      </w:pPr>
      <w:r w:rsidRPr="00A353B7">
        <w:rPr>
          <w:szCs w:val="20"/>
        </w:rPr>
        <w:t>La solicitud de medidas provisionales fue presentada por l</w:t>
      </w:r>
      <w:r>
        <w:rPr>
          <w:szCs w:val="20"/>
        </w:rPr>
        <w:t>a</w:t>
      </w:r>
      <w:r w:rsidRPr="00A353B7">
        <w:rPr>
          <w:szCs w:val="20"/>
        </w:rPr>
        <w:t>s representantes acreditad</w:t>
      </w:r>
      <w:r>
        <w:rPr>
          <w:szCs w:val="20"/>
        </w:rPr>
        <w:t>a</w:t>
      </w:r>
      <w:r w:rsidRPr="00A353B7">
        <w:rPr>
          <w:szCs w:val="20"/>
        </w:rPr>
        <w:t>s</w:t>
      </w:r>
      <w:r>
        <w:rPr>
          <w:szCs w:val="20"/>
        </w:rPr>
        <w:t xml:space="preserve"> de Vicky Hernández y sus familiares, </w:t>
      </w:r>
      <w:r w:rsidR="005D5E06" w:rsidRPr="005D5E06">
        <w:rPr>
          <w:szCs w:val="20"/>
        </w:rPr>
        <w:t>directamente ante el Tribunal, durante el desarrollo de la audiencia pública, en un caso que se encuentra actualmente ante la Corte, con lo cual se cumple con lo requerido en el artículo 27.3 en lo que respecta a la legitimación para presentar la solicitud</w:t>
      </w:r>
      <w:r w:rsidRPr="00A353B7">
        <w:rPr>
          <w:szCs w:val="20"/>
        </w:rPr>
        <w:t>.</w:t>
      </w:r>
    </w:p>
    <w:p w14:paraId="1F4890D7" w14:textId="5D07D951" w:rsidR="00E020F6" w:rsidRDefault="00E020F6" w:rsidP="00A353B7">
      <w:pPr>
        <w:pStyle w:val="Prrafodelista"/>
        <w:numPr>
          <w:ilvl w:val="0"/>
          <w:numId w:val="12"/>
        </w:numPr>
        <w:spacing w:before="120"/>
        <w:ind w:left="0" w:firstLine="0"/>
        <w:contextualSpacing w:val="0"/>
        <w:rPr>
          <w:szCs w:val="20"/>
        </w:rPr>
      </w:pPr>
      <w:r w:rsidRPr="001D3520">
        <w:rPr>
          <w:szCs w:val="20"/>
        </w:rPr>
        <w:t>Este Tribunal estima pertinente reiterar que, para la disposición de medidas provisionales, el artículo 63.2 de la Convención Americana exige la concurrencia de tres condiciones: i) “extrema gravedad”; ii) “urgencia”, y iii) que se trate de “evitar daños irreparables” a las personas. Estas tres condiciones son coexistentes y deben estar presentes en toda situación en la que se solicite la intervención del Tribunal a través de una medida provisional</w:t>
      </w:r>
      <w:r w:rsidRPr="001D3520">
        <w:rPr>
          <w:rStyle w:val="Refdenotaalpie"/>
        </w:rPr>
        <w:footnoteReference w:id="2"/>
      </w:r>
      <w:r w:rsidRPr="001D3520">
        <w:rPr>
          <w:szCs w:val="20"/>
        </w:rPr>
        <w:t xml:space="preserve">. Conforme a la Convención y al Reglamento, la carga procesal de demostrar </w:t>
      </w:r>
      <w:r w:rsidRPr="001D3520">
        <w:rPr>
          <w:i/>
          <w:szCs w:val="20"/>
        </w:rPr>
        <w:t>prima facie</w:t>
      </w:r>
      <w:r w:rsidRPr="001D3520">
        <w:rPr>
          <w:szCs w:val="20"/>
        </w:rPr>
        <w:t xml:space="preserve"> dichos requisitos recae en el solicitante</w:t>
      </w:r>
      <w:r w:rsidRPr="001D3520">
        <w:rPr>
          <w:szCs w:val="20"/>
          <w:vertAlign w:val="superscript"/>
        </w:rPr>
        <w:footnoteReference w:id="3"/>
      </w:r>
      <w:r w:rsidRPr="001D3520">
        <w:rPr>
          <w:szCs w:val="20"/>
        </w:rPr>
        <w:t>.</w:t>
      </w:r>
      <w:r>
        <w:rPr>
          <w:szCs w:val="20"/>
        </w:rPr>
        <w:t xml:space="preserve"> </w:t>
      </w:r>
      <w:r w:rsidRPr="00E020F6">
        <w:rPr>
          <w:szCs w:val="20"/>
        </w:rPr>
        <w:t>En este caso, la Corte estima que se configuran condiciones que ameritan proceder a examinar si se cumplen los requisitos para la adopción de medidas provisionales</w:t>
      </w:r>
      <w:r>
        <w:rPr>
          <w:szCs w:val="20"/>
        </w:rPr>
        <w:t>.</w:t>
      </w:r>
    </w:p>
    <w:p w14:paraId="2D473F30" w14:textId="5EAF3816" w:rsidR="00FC2FA3" w:rsidRDefault="00A353B7" w:rsidP="00FC2FA3">
      <w:pPr>
        <w:pStyle w:val="Prrafodelista"/>
        <w:numPr>
          <w:ilvl w:val="0"/>
          <w:numId w:val="12"/>
        </w:numPr>
        <w:spacing w:before="120"/>
        <w:ind w:left="0" w:firstLine="0"/>
        <w:contextualSpacing w:val="0"/>
        <w:rPr>
          <w:szCs w:val="20"/>
        </w:rPr>
      </w:pPr>
      <w:r w:rsidRPr="00FC2FA3">
        <w:rPr>
          <w:szCs w:val="20"/>
        </w:rPr>
        <w:t>Las representantes informaron sobre hechos que eventualmente podrían constituir un</w:t>
      </w:r>
      <w:r w:rsidR="00B61DBA" w:rsidRPr="00FC2FA3">
        <w:rPr>
          <w:szCs w:val="20"/>
        </w:rPr>
        <w:t>a</w:t>
      </w:r>
      <w:r w:rsidRPr="00FC2FA3">
        <w:rPr>
          <w:szCs w:val="20"/>
        </w:rPr>
        <w:t xml:space="preserve"> forma de amedrentamiento, de hostigamiento </w:t>
      </w:r>
      <w:r w:rsidR="00B61DBA" w:rsidRPr="00FC2FA3">
        <w:rPr>
          <w:szCs w:val="20"/>
        </w:rPr>
        <w:t>y de amenaza contra la vida e integridad personal de participantes en el proceso ante esta Corte. En particular señalaron que la madre de Vicky Hernández recibió tres llamadas telefónicas de una persona que se identificó como representante de la Policía Nacional de Honduras</w:t>
      </w:r>
      <w:r w:rsidR="007E1982">
        <w:rPr>
          <w:szCs w:val="20"/>
        </w:rPr>
        <w:t>. Reportaron que éste</w:t>
      </w:r>
      <w:r w:rsidR="00B61DBA" w:rsidRPr="00FC2FA3">
        <w:rPr>
          <w:szCs w:val="20"/>
        </w:rPr>
        <w:t xml:space="preserve"> manifestó “que hay inconsistencias en la investigación del caso Jhony </w:t>
      </w:r>
      <w:proofErr w:type="spellStart"/>
      <w:r w:rsidR="00B61DBA" w:rsidRPr="00FC2FA3">
        <w:rPr>
          <w:szCs w:val="20"/>
        </w:rPr>
        <w:t>Emilson</w:t>
      </w:r>
      <w:proofErr w:type="spellEnd"/>
      <w:r w:rsidR="00B61DBA" w:rsidRPr="00FC2FA3">
        <w:rPr>
          <w:szCs w:val="20"/>
        </w:rPr>
        <w:t xml:space="preserve"> Hernández”. Agregaron que </w:t>
      </w:r>
      <w:r w:rsidR="007E1982">
        <w:rPr>
          <w:szCs w:val="20"/>
        </w:rPr>
        <w:t>se le</w:t>
      </w:r>
      <w:r w:rsidR="001E7CA8" w:rsidRPr="00FC2FA3">
        <w:rPr>
          <w:szCs w:val="20"/>
        </w:rPr>
        <w:t xml:space="preserve"> </w:t>
      </w:r>
      <w:r w:rsidR="007E1982">
        <w:rPr>
          <w:szCs w:val="20"/>
        </w:rPr>
        <w:t>indicó</w:t>
      </w:r>
      <w:r w:rsidR="00B61DBA" w:rsidRPr="00FC2FA3">
        <w:rPr>
          <w:szCs w:val="20"/>
        </w:rPr>
        <w:t xml:space="preserve"> a </w:t>
      </w:r>
      <w:r w:rsidR="001E7CA8" w:rsidRPr="00FC2FA3">
        <w:rPr>
          <w:szCs w:val="20"/>
        </w:rPr>
        <w:t>ese individuo</w:t>
      </w:r>
      <w:r w:rsidR="00B61DBA" w:rsidRPr="00FC2FA3">
        <w:rPr>
          <w:szCs w:val="20"/>
        </w:rPr>
        <w:t xml:space="preserve"> que lo que “él estaba haciendo constituía una forma de hostigamiento que estaba prohibido”.</w:t>
      </w:r>
      <w:r w:rsidR="001E7CA8" w:rsidRPr="00FC2FA3">
        <w:rPr>
          <w:szCs w:val="20"/>
        </w:rPr>
        <w:t xml:space="preserve"> Por su parte, el Estado reconoció que esa llamada se había producido efec</w:t>
      </w:r>
      <w:r w:rsidR="003F6458" w:rsidRPr="00FC2FA3">
        <w:rPr>
          <w:szCs w:val="20"/>
        </w:rPr>
        <w:t>tivamente</w:t>
      </w:r>
      <w:r w:rsidR="00F22633">
        <w:rPr>
          <w:szCs w:val="20"/>
        </w:rPr>
        <w:t>,</w:t>
      </w:r>
      <w:r w:rsidR="003F6458" w:rsidRPr="00FC2FA3">
        <w:rPr>
          <w:szCs w:val="20"/>
        </w:rPr>
        <w:t xml:space="preserve"> </w:t>
      </w:r>
      <w:r w:rsidR="00F22633">
        <w:rPr>
          <w:szCs w:val="20"/>
        </w:rPr>
        <w:t>aunque</w:t>
      </w:r>
      <w:r w:rsidR="003F6458" w:rsidRPr="00FC2FA3">
        <w:rPr>
          <w:szCs w:val="20"/>
        </w:rPr>
        <w:t xml:space="preserve"> especificó que no perseguía una finalidad intimidatoria (</w:t>
      </w:r>
      <w:r w:rsidR="003F6458" w:rsidRPr="00FC2FA3">
        <w:rPr>
          <w:i/>
          <w:szCs w:val="20"/>
        </w:rPr>
        <w:t>supra</w:t>
      </w:r>
      <w:r w:rsidR="003F6458" w:rsidRPr="00FC2FA3">
        <w:rPr>
          <w:szCs w:val="20"/>
        </w:rPr>
        <w:t xml:space="preserve"> </w:t>
      </w:r>
      <w:r w:rsidR="007E1982">
        <w:rPr>
          <w:szCs w:val="20"/>
        </w:rPr>
        <w:t>Visto</w:t>
      </w:r>
      <w:r w:rsidR="003F6458" w:rsidRPr="00FC2FA3">
        <w:rPr>
          <w:szCs w:val="20"/>
        </w:rPr>
        <w:t xml:space="preserve"> </w:t>
      </w:r>
      <w:r w:rsidR="007E1982">
        <w:rPr>
          <w:szCs w:val="20"/>
        </w:rPr>
        <w:t>6</w:t>
      </w:r>
      <w:r w:rsidR="003F6458" w:rsidRPr="00FC2FA3">
        <w:rPr>
          <w:szCs w:val="20"/>
        </w:rPr>
        <w:t>).</w:t>
      </w:r>
      <w:r w:rsidR="00FC2FA3" w:rsidRPr="00FC2FA3">
        <w:rPr>
          <w:szCs w:val="20"/>
        </w:rPr>
        <w:t xml:space="preserve"> </w:t>
      </w:r>
    </w:p>
    <w:p w14:paraId="25BD023A" w14:textId="232EEAF8" w:rsidR="00B61DBA" w:rsidRPr="00FC2FA3" w:rsidRDefault="00FC2FA3" w:rsidP="00FC2FA3">
      <w:pPr>
        <w:pStyle w:val="Prrafodelista"/>
        <w:numPr>
          <w:ilvl w:val="0"/>
          <w:numId w:val="12"/>
        </w:numPr>
        <w:spacing w:before="120"/>
        <w:ind w:left="0" w:firstLine="0"/>
        <w:contextualSpacing w:val="0"/>
        <w:rPr>
          <w:szCs w:val="20"/>
        </w:rPr>
      </w:pPr>
      <w:r w:rsidRPr="00FC2FA3">
        <w:rPr>
          <w:szCs w:val="20"/>
        </w:rPr>
        <w:t>Por otra parte, las represen</w:t>
      </w:r>
      <w:r w:rsidR="00457588">
        <w:rPr>
          <w:szCs w:val="20"/>
        </w:rPr>
        <w:t>tan</w:t>
      </w:r>
      <w:r w:rsidRPr="00FC2FA3">
        <w:rPr>
          <w:szCs w:val="20"/>
        </w:rPr>
        <w:t xml:space="preserve">tes informaron durante la audiencia que una integrante de la organización </w:t>
      </w:r>
      <w:r w:rsidR="007C0EF1">
        <w:rPr>
          <w:szCs w:val="20"/>
        </w:rPr>
        <w:t>Red Lésbica “</w:t>
      </w:r>
      <w:proofErr w:type="spellStart"/>
      <w:r w:rsidRPr="00FC2FA3">
        <w:rPr>
          <w:szCs w:val="20"/>
        </w:rPr>
        <w:t>Cat</w:t>
      </w:r>
      <w:r w:rsidR="007C0EF1">
        <w:rPr>
          <w:szCs w:val="20"/>
        </w:rPr>
        <w:t>t</w:t>
      </w:r>
      <w:r w:rsidRPr="00FC2FA3">
        <w:rPr>
          <w:szCs w:val="20"/>
        </w:rPr>
        <w:t>rachas</w:t>
      </w:r>
      <w:proofErr w:type="spellEnd"/>
      <w:r w:rsidR="007C0EF1">
        <w:rPr>
          <w:szCs w:val="20"/>
        </w:rPr>
        <w:t>”</w:t>
      </w:r>
      <w:r w:rsidRPr="00FC2FA3">
        <w:rPr>
          <w:szCs w:val="20"/>
        </w:rPr>
        <w:t xml:space="preserve"> había sido increpada en la calle, mientras se encontraba saliendo de su vehículo, el día 11 de noviembre de 2020, a las 12</w:t>
      </w:r>
      <w:r w:rsidR="007E1982">
        <w:rPr>
          <w:szCs w:val="20"/>
        </w:rPr>
        <w:t>:</w:t>
      </w:r>
      <w:r w:rsidRPr="00FC2FA3">
        <w:rPr>
          <w:szCs w:val="20"/>
        </w:rPr>
        <w:t>45</w:t>
      </w:r>
      <w:r w:rsidR="007E1982">
        <w:rPr>
          <w:szCs w:val="20"/>
        </w:rPr>
        <w:t xml:space="preserve"> pm</w:t>
      </w:r>
      <w:r w:rsidRPr="00FC2FA3">
        <w:rPr>
          <w:szCs w:val="20"/>
        </w:rPr>
        <w:t>, justo después de la primera sesión de la audiencia pública del presente caso. El autor de ese suceso</w:t>
      </w:r>
      <w:r w:rsidR="00457588">
        <w:rPr>
          <w:szCs w:val="20"/>
        </w:rPr>
        <w:t xml:space="preserve"> profirió insultos contra esa persona, </w:t>
      </w:r>
      <w:r w:rsidR="00255DE8">
        <w:rPr>
          <w:szCs w:val="20"/>
        </w:rPr>
        <w:t>los cuales se relacionaban con l</w:t>
      </w:r>
      <w:r w:rsidRPr="00FC2FA3">
        <w:rPr>
          <w:szCs w:val="20"/>
        </w:rPr>
        <w:t xml:space="preserve">a actividad </w:t>
      </w:r>
      <w:r w:rsidR="00457588">
        <w:rPr>
          <w:szCs w:val="20"/>
        </w:rPr>
        <w:t xml:space="preserve">que ella desempeña en la </w:t>
      </w:r>
      <w:r w:rsidRPr="00FC2FA3">
        <w:rPr>
          <w:szCs w:val="20"/>
        </w:rPr>
        <w:t>defensa de l</w:t>
      </w:r>
      <w:r w:rsidR="00457588">
        <w:rPr>
          <w:szCs w:val="20"/>
        </w:rPr>
        <w:t>o</w:t>
      </w:r>
      <w:r w:rsidRPr="00FC2FA3">
        <w:rPr>
          <w:szCs w:val="20"/>
        </w:rPr>
        <w:t xml:space="preserve">s </w:t>
      </w:r>
      <w:r w:rsidR="00457588">
        <w:rPr>
          <w:szCs w:val="20"/>
        </w:rPr>
        <w:t xml:space="preserve">derechos de las </w:t>
      </w:r>
      <w:r w:rsidRPr="00FC2FA3">
        <w:rPr>
          <w:szCs w:val="20"/>
        </w:rPr>
        <w:t xml:space="preserve">personas </w:t>
      </w:r>
      <w:r w:rsidRPr="00FC2FA3">
        <w:rPr>
          <w:i/>
          <w:szCs w:val="20"/>
        </w:rPr>
        <w:t>trans</w:t>
      </w:r>
      <w:r w:rsidRPr="00FC2FA3">
        <w:rPr>
          <w:szCs w:val="20"/>
        </w:rPr>
        <w:t xml:space="preserve">. </w:t>
      </w:r>
    </w:p>
    <w:p w14:paraId="39D3D80B" w14:textId="274ABAA7" w:rsidR="00FC2FA3" w:rsidRPr="00A353B7" w:rsidRDefault="00FC2FA3" w:rsidP="00FC2FA3">
      <w:pPr>
        <w:pStyle w:val="Prrafodelista"/>
        <w:numPr>
          <w:ilvl w:val="0"/>
          <w:numId w:val="12"/>
        </w:numPr>
        <w:spacing w:before="120"/>
        <w:ind w:left="0" w:firstLine="0"/>
        <w:contextualSpacing w:val="0"/>
        <w:rPr>
          <w:szCs w:val="20"/>
        </w:rPr>
      </w:pPr>
      <w:r>
        <w:rPr>
          <w:szCs w:val="20"/>
        </w:rPr>
        <w:t xml:space="preserve">A lo anterior se suma el hecho que se alega en el presente caso, por parte de las representantes y de la Comisión, que existe un contexto </w:t>
      </w:r>
      <w:r w:rsidRPr="00453B2B">
        <w:rPr>
          <w:szCs w:val="20"/>
        </w:rPr>
        <w:t>general de discriminación y violencia contra personas LGBTI en Honduras</w:t>
      </w:r>
      <w:r>
        <w:rPr>
          <w:szCs w:val="20"/>
        </w:rPr>
        <w:t xml:space="preserve">, </w:t>
      </w:r>
      <w:r w:rsidR="00993188">
        <w:rPr>
          <w:szCs w:val="20"/>
        </w:rPr>
        <w:t xml:space="preserve">y que varios de </w:t>
      </w:r>
      <w:r w:rsidRPr="00453B2B">
        <w:rPr>
          <w:szCs w:val="20"/>
        </w:rPr>
        <w:t xml:space="preserve">esos hechos de violencia </w:t>
      </w:r>
      <w:r w:rsidR="00993188">
        <w:rPr>
          <w:szCs w:val="20"/>
        </w:rPr>
        <w:t>serían</w:t>
      </w:r>
      <w:r w:rsidRPr="00453B2B">
        <w:rPr>
          <w:szCs w:val="20"/>
        </w:rPr>
        <w:t xml:space="preserve"> protagonizados por integrantes de la fuerza pública </w:t>
      </w:r>
      <w:r>
        <w:rPr>
          <w:szCs w:val="20"/>
        </w:rPr>
        <w:t>siendo que</w:t>
      </w:r>
      <w:r w:rsidRPr="00453B2B">
        <w:rPr>
          <w:szCs w:val="20"/>
        </w:rPr>
        <w:t xml:space="preserve"> Honduras cu</w:t>
      </w:r>
      <w:r>
        <w:rPr>
          <w:szCs w:val="20"/>
        </w:rPr>
        <w:t>e</w:t>
      </w:r>
      <w:r w:rsidRPr="00453B2B">
        <w:rPr>
          <w:szCs w:val="20"/>
        </w:rPr>
        <w:t xml:space="preserve">nta con una de </w:t>
      </w:r>
      <w:r w:rsidRPr="00453B2B">
        <w:rPr>
          <w:szCs w:val="20"/>
        </w:rPr>
        <w:lastRenderedPageBreak/>
        <w:t xml:space="preserve">las más altas tasas de asesinatos de personas </w:t>
      </w:r>
      <w:r w:rsidRPr="00453B2B">
        <w:rPr>
          <w:i/>
          <w:iCs/>
          <w:szCs w:val="20"/>
        </w:rPr>
        <w:t>trans</w:t>
      </w:r>
      <w:r w:rsidRPr="00453B2B">
        <w:rPr>
          <w:szCs w:val="20"/>
        </w:rPr>
        <w:t xml:space="preserve"> en el mundo</w:t>
      </w:r>
      <w:r>
        <w:rPr>
          <w:szCs w:val="20"/>
        </w:rPr>
        <w:t xml:space="preserve"> (</w:t>
      </w:r>
      <w:r w:rsidRPr="00453B2B">
        <w:rPr>
          <w:i/>
          <w:iCs/>
          <w:szCs w:val="20"/>
        </w:rPr>
        <w:t>supra</w:t>
      </w:r>
      <w:r>
        <w:rPr>
          <w:szCs w:val="20"/>
        </w:rPr>
        <w:t xml:space="preserve"> Visto 1). En esos alegatos se </w:t>
      </w:r>
      <w:r w:rsidR="005D5E06">
        <w:rPr>
          <w:szCs w:val="20"/>
        </w:rPr>
        <w:t>indicó</w:t>
      </w:r>
      <w:r>
        <w:rPr>
          <w:szCs w:val="20"/>
        </w:rPr>
        <w:t xml:space="preserve"> además que </w:t>
      </w:r>
      <w:r w:rsidRPr="00453B2B">
        <w:rPr>
          <w:szCs w:val="20"/>
        </w:rPr>
        <w:t>l</w:t>
      </w:r>
      <w:r>
        <w:rPr>
          <w:szCs w:val="20"/>
        </w:rPr>
        <w:t>o</w:t>
      </w:r>
      <w:r w:rsidRPr="00453B2B">
        <w:rPr>
          <w:szCs w:val="20"/>
        </w:rPr>
        <w:t>s defensor</w:t>
      </w:r>
      <w:r>
        <w:rPr>
          <w:szCs w:val="20"/>
        </w:rPr>
        <w:t>e</w:t>
      </w:r>
      <w:r w:rsidRPr="00453B2B">
        <w:rPr>
          <w:szCs w:val="20"/>
        </w:rPr>
        <w:t xml:space="preserve">s de </w:t>
      </w:r>
      <w:r w:rsidR="00993188">
        <w:rPr>
          <w:szCs w:val="20"/>
        </w:rPr>
        <w:t xml:space="preserve">los </w:t>
      </w:r>
      <w:r w:rsidRPr="00453B2B">
        <w:rPr>
          <w:szCs w:val="20"/>
        </w:rPr>
        <w:t>derechos de</w:t>
      </w:r>
      <w:r w:rsidR="00993188">
        <w:rPr>
          <w:szCs w:val="20"/>
        </w:rPr>
        <w:t xml:space="preserve"> las</w:t>
      </w:r>
      <w:r w:rsidRPr="00453B2B">
        <w:rPr>
          <w:szCs w:val="20"/>
        </w:rPr>
        <w:t xml:space="preserve"> personas </w:t>
      </w:r>
      <w:r w:rsidRPr="00453B2B">
        <w:rPr>
          <w:i/>
          <w:iCs/>
          <w:szCs w:val="20"/>
        </w:rPr>
        <w:t>trans</w:t>
      </w:r>
      <w:r w:rsidRPr="00453B2B">
        <w:rPr>
          <w:szCs w:val="20"/>
        </w:rPr>
        <w:t xml:space="preserve"> se encuentran en una situación de vulnerabilidad y suelen sufrir actos de violencia por parte de los agentes estatales y no estatales, en represalia por </w:t>
      </w:r>
      <w:r w:rsidR="00993188">
        <w:rPr>
          <w:szCs w:val="20"/>
        </w:rPr>
        <w:t>su</w:t>
      </w:r>
      <w:r w:rsidRPr="00453B2B">
        <w:rPr>
          <w:szCs w:val="20"/>
        </w:rPr>
        <w:t xml:space="preserve"> activismo en materia de derechos </w:t>
      </w:r>
      <w:r w:rsidR="0059118A" w:rsidRPr="00453B2B">
        <w:rPr>
          <w:szCs w:val="20"/>
        </w:rPr>
        <w:t>humanos,</w:t>
      </w:r>
      <w:r w:rsidRPr="00453B2B">
        <w:rPr>
          <w:szCs w:val="20"/>
        </w:rPr>
        <w:t xml:space="preserve"> </w:t>
      </w:r>
      <w:r w:rsidR="00993188">
        <w:rPr>
          <w:szCs w:val="20"/>
        </w:rPr>
        <w:t>así como en</w:t>
      </w:r>
      <w:r w:rsidRPr="00453B2B">
        <w:rPr>
          <w:szCs w:val="20"/>
        </w:rPr>
        <w:t xml:space="preserve"> el ejercicio del trabajo sexual</w:t>
      </w:r>
      <w:r>
        <w:rPr>
          <w:szCs w:val="20"/>
        </w:rPr>
        <w:t xml:space="preserve">. Por su parte, el Estado reconoció </w:t>
      </w:r>
      <w:r w:rsidRPr="00453B2B">
        <w:rPr>
          <w:szCs w:val="20"/>
        </w:rPr>
        <w:t xml:space="preserve">que existía un contexto en la región del </w:t>
      </w:r>
      <w:r w:rsidR="005D5E06" w:rsidRPr="00453B2B">
        <w:rPr>
          <w:szCs w:val="20"/>
        </w:rPr>
        <w:t>Triángulo</w:t>
      </w:r>
      <w:r w:rsidRPr="00453B2B">
        <w:rPr>
          <w:szCs w:val="20"/>
        </w:rPr>
        <w:t xml:space="preserve"> Norte con altas tasas de muertes violentas derivadas del fenómeno del crimen organizado, narcotráfico, y el aumento de las maras y pandillas</w:t>
      </w:r>
      <w:r>
        <w:rPr>
          <w:szCs w:val="20"/>
        </w:rPr>
        <w:t xml:space="preserve"> (</w:t>
      </w:r>
      <w:r w:rsidRPr="00453B2B">
        <w:rPr>
          <w:i/>
          <w:iCs/>
          <w:szCs w:val="20"/>
        </w:rPr>
        <w:t>supra</w:t>
      </w:r>
      <w:r>
        <w:rPr>
          <w:szCs w:val="20"/>
        </w:rPr>
        <w:t xml:space="preserve"> Visto 1). </w:t>
      </w:r>
    </w:p>
    <w:p w14:paraId="73677E3C" w14:textId="1B3605C1" w:rsidR="005D5E06" w:rsidRDefault="00A8301D" w:rsidP="005D5E06">
      <w:pPr>
        <w:pStyle w:val="Prrafodelista"/>
        <w:numPr>
          <w:ilvl w:val="0"/>
          <w:numId w:val="12"/>
        </w:numPr>
        <w:spacing w:before="120"/>
        <w:ind w:left="0" w:firstLine="0"/>
        <w:contextualSpacing w:val="0"/>
        <w:rPr>
          <w:szCs w:val="20"/>
        </w:rPr>
      </w:pPr>
      <w:r w:rsidRPr="00A8301D">
        <w:rPr>
          <w:szCs w:val="20"/>
        </w:rPr>
        <w:t>La adopción de medidas provisionales no implica una decisión sobre el fondo de la controversia existente en el presente caso, ni prejuzga la responsabilidad estatal en los hechos denunciados</w:t>
      </w:r>
      <w:r w:rsidR="00345E08">
        <w:rPr>
          <w:rStyle w:val="Refdenotaalpie"/>
          <w:szCs w:val="20"/>
        </w:rPr>
        <w:footnoteReference w:id="4"/>
      </w:r>
      <w:r w:rsidRPr="00A8301D">
        <w:rPr>
          <w:szCs w:val="20"/>
        </w:rPr>
        <w:t>. Al adoptar medidas provisionales, el Tribunal está garantizando únicamente el poder ejercer fielmente su mandato conforme a la Convención en casos de extrema gravedad y urgencia que requieren medidas de protección para evitar daños irreparables a las personas</w:t>
      </w:r>
      <w:r w:rsidR="006D267B">
        <w:rPr>
          <w:rStyle w:val="Refdenotaalpie"/>
          <w:szCs w:val="20"/>
        </w:rPr>
        <w:footnoteReference w:id="5"/>
      </w:r>
      <w:r>
        <w:rPr>
          <w:szCs w:val="20"/>
        </w:rPr>
        <w:t xml:space="preserve">. </w:t>
      </w:r>
    </w:p>
    <w:p w14:paraId="2CA09C02" w14:textId="4D746938" w:rsidR="00FC2FA3" w:rsidRDefault="005D5E06" w:rsidP="005D5E06">
      <w:pPr>
        <w:pStyle w:val="Prrafodelista"/>
        <w:numPr>
          <w:ilvl w:val="0"/>
          <w:numId w:val="12"/>
        </w:numPr>
        <w:spacing w:before="120"/>
        <w:ind w:left="0" w:firstLine="0"/>
        <w:contextualSpacing w:val="0"/>
        <w:rPr>
          <w:szCs w:val="20"/>
        </w:rPr>
      </w:pPr>
      <w:r w:rsidRPr="005D5E06">
        <w:rPr>
          <w:szCs w:val="20"/>
        </w:rPr>
        <w:t xml:space="preserve">La Corte estima que los hechos informados por </w:t>
      </w:r>
      <w:r w:rsidR="00457588">
        <w:rPr>
          <w:szCs w:val="20"/>
        </w:rPr>
        <w:t>l</w:t>
      </w:r>
      <w:r w:rsidRPr="005D5E06">
        <w:rPr>
          <w:szCs w:val="20"/>
        </w:rPr>
        <w:t>as representantes podrían constituir actos de amedrentamiento y amenazas en contra de participantes y presuntas víctimas del proceso que se encuentra en su conocimiento. Resulta llamativo además que dichos hechos ocurrieran precisamente de forma concomitante con el desarrollo de la audiencia pública del presente caso, la cual es difundida de forma virtual mediante diversas plataformas, y que además algunos de ellos fueran protagonizados por un integrante de la Fuerza pública de Honduras</w:t>
      </w:r>
      <w:r w:rsidR="00E020F6" w:rsidRPr="00E020F6">
        <w:rPr>
          <w:szCs w:val="20"/>
        </w:rPr>
        <w:t>.</w:t>
      </w:r>
      <w:r w:rsidR="004E284C" w:rsidRPr="00E020F6">
        <w:rPr>
          <w:szCs w:val="20"/>
        </w:rPr>
        <w:t xml:space="preserve"> </w:t>
      </w:r>
      <w:r w:rsidR="00FC2FA3" w:rsidRPr="00E020F6">
        <w:rPr>
          <w:szCs w:val="20"/>
        </w:rPr>
        <w:t xml:space="preserve">A su vez, </w:t>
      </w:r>
      <w:r w:rsidR="00FC2FA3">
        <w:rPr>
          <w:szCs w:val="20"/>
        </w:rPr>
        <w:t>esos hechos estarían enmarcado</w:t>
      </w:r>
      <w:r w:rsidR="0059118A">
        <w:rPr>
          <w:szCs w:val="20"/>
        </w:rPr>
        <w:t>s</w:t>
      </w:r>
      <w:r w:rsidR="00FC2FA3" w:rsidRPr="00E020F6">
        <w:rPr>
          <w:szCs w:val="20"/>
        </w:rPr>
        <w:t xml:space="preserve"> en </w:t>
      </w:r>
      <w:r w:rsidR="00FC2FA3">
        <w:rPr>
          <w:szCs w:val="20"/>
        </w:rPr>
        <w:t>un alegado</w:t>
      </w:r>
      <w:r w:rsidR="00FC2FA3" w:rsidRPr="00E020F6">
        <w:rPr>
          <w:szCs w:val="20"/>
        </w:rPr>
        <w:t xml:space="preserve"> contexto de violencia, el cual no es controvertido por el </w:t>
      </w:r>
      <w:r w:rsidR="00F22633">
        <w:rPr>
          <w:szCs w:val="20"/>
        </w:rPr>
        <w:t>Estado.</w:t>
      </w:r>
      <w:r w:rsidR="00FC2FA3" w:rsidRPr="00E020F6">
        <w:rPr>
          <w:szCs w:val="20"/>
        </w:rPr>
        <w:t xml:space="preserve"> </w:t>
      </w:r>
      <w:r w:rsidR="00F22633">
        <w:rPr>
          <w:szCs w:val="20"/>
        </w:rPr>
        <w:t>Por último</w:t>
      </w:r>
      <w:r w:rsidR="00E020F6" w:rsidRPr="00E020F6">
        <w:rPr>
          <w:szCs w:val="20"/>
        </w:rPr>
        <w:t>, lo anterior podría resultar contrario a lo dispuesto por el artículo 53 del Reglamento del Tribunal que establece la prohibición de ejercer represalias contra los participantes</w:t>
      </w:r>
      <w:r w:rsidR="00FC2FA3">
        <w:rPr>
          <w:szCs w:val="20"/>
        </w:rPr>
        <w:t xml:space="preserve"> en el proceso y sus familiares</w:t>
      </w:r>
      <w:r w:rsidR="00807987">
        <w:rPr>
          <w:szCs w:val="20"/>
        </w:rPr>
        <w:t>.</w:t>
      </w:r>
      <w:r w:rsidR="00E020F6">
        <w:rPr>
          <w:szCs w:val="20"/>
        </w:rPr>
        <w:t xml:space="preserve"> </w:t>
      </w:r>
    </w:p>
    <w:p w14:paraId="2A9EAAE9" w14:textId="230D20AE" w:rsidR="004E284C" w:rsidRPr="00FC2FA3" w:rsidRDefault="00F22633" w:rsidP="00A8301D">
      <w:pPr>
        <w:pStyle w:val="Prrafodelista"/>
        <w:numPr>
          <w:ilvl w:val="0"/>
          <w:numId w:val="12"/>
        </w:numPr>
        <w:spacing w:before="120"/>
        <w:ind w:left="0" w:firstLine="0"/>
        <w:contextualSpacing w:val="0"/>
        <w:rPr>
          <w:szCs w:val="20"/>
        </w:rPr>
      </w:pPr>
      <w:r>
        <w:rPr>
          <w:szCs w:val="20"/>
        </w:rPr>
        <w:t xml:space="preserve">Sobre este último </w:t>
      </w:r>
      <w:r w:rsidR="00FC2FA3" w:rsidRPr="00B61DBA">
        <w:rPr>
          <w:szCs w:val="20"/>
        </w:rPr>
        <w:t xml:space="preserve">punto, cabe recordar que el artículo 53 del Reglamento de la Corte sobre Protección de presuntas víctimas, testigos, peritos, representantes y asesores legales establece que “los Estados no podrán enjuiciar a las presuntas víctimas, a los testigos y a los peritos, a sus representantes o asesores legales ni ejercer represalias contra ellos o sus familiares, a causa de sus declaraciones, dictámenes rendidos o su defensa legal ante la Corte”. Del mismo modo, cabe recordar que esta Corte ha señalado en varias oportunidades que </w:t>
      </w:r>
      <w:r w:rsidR="00FC2FA3">
        <w:rPr>
          <w:szCs w:val="20"/>
        </w:rPr>
        <w:t>“</w:t>
      </w:r>
      <w:r w:rsidR="00A8301D" w:rsidRPr="00A8301D">
        <w:rPr>
          <w:szCs w:val="20"/>
        </w:rPr>
        <w:t>es responsabilidad del Estado adoptar medidas de seguridad para proteger a todas las personas que estén sujetas a su jurisdicción y este deber se torna aún más evidente en relación con quienes estén vinculados en procesos ante los órganos de supervisión de la Convención Americana</w:t>
      </w:r>
      <w:r w:rsidR="00FC2FA3">
        <w:rPr>
          <w:szCs w:val="20"/>
        </w:rPr>
        <w:t>”</w:t>
      </w:r>
      <w:r w:rsidR="00FC2FA3">
        <w:rPr>
          <w:rStyle w:val="Refdenotaalpie"/>
          <w:szCs w:val="20"/>
        </w:rPr>
        <w:footnoteReference w:id="6"/>
      </w:r>
      <w:r w:rsidR="00FC2FA3">
        <w:rPr>
          <w:szCs w:val="20"/>
        </w:rPr>
        <w:t>.</w:t>
      </w:r>
    </w:p>
    <w:p w14:paraId="26BD4513" w14:textId="01A16B46" w:rsidR="00807987" w:rsidRDefault="00807987" w:rsidP="00807987">
      <w:pPr>
        <w:pStyle w:val="Prrafodelista"/>
        <w:numPr>
          <w:ilvl w:val="0"/>
          <w:numId w:val="12"/>
        </w:numPr>
        <w:spacing w:before="120"/>
        <w:ind w:left="0" w:firstLine="0"/>
        <w:contextualSpacing w:val="0"/>
      </w:pPr>
      <w:r w:rsidRPr="00FC2FA3">
        <w:rPr>
          <w:rFonts w:eastAsia="MS Mincho"/>
          <w:szCs w:val="20"/>
        </w:rPr>
        <w:t xml:space="preserve">De acuerdo con lo </w:t>
      </w:r>
      <w:r w:rsidR="00F22633">
        <w:rPr>
          <w:rFonts w:eastAsia="MS Mincho"/>
          <w:szCs w:val="20"/>
        </w:rPr>
        <w:t xml:space="preserve">todo lo </w:t>
      </w:r>
      <w:r w:rsidRPr="00FC2FA3">
        <w:rPr>
          <w:rFonts w:eastAsia="MS Mincho"/>
          <w:szCs w:val="20"/>
        </w:rPr>
        <w:t>anterior, este Tribunal constata que los hechos reportados por l</w:t>
      </w:r>
      <w:r w:rsidR="00FC2FA3" w:rsidRPr="00FC2FA3">
        <w:rPr>
          <w:rFonts w:eastAsia="MS Mincho"/>
          <w:szCs w:val="20"/>
        </w:rPr>
        <w:t>a</w:t>
      </w:r>
      <w:r w:rsidRPr="00FC2FA3">
        <w:rPr>
          <w:rFonts w:eastAsia="MS Mincho"/>
          <w:szCs w:val="20"/>
        </w:rPr>
        <w:t xml:space="preserve">s representantes </w:t>
      </w:r>
      <w:r w:rsidR="0005396A" w:rsidRPr="00FC2FA3">
        <w:rPr>
          <w:rFonts w:eastAsia="MS Mincho"/>
          <w:szCs w:val="20"/>
        </w:rPr>
        <w:t>podrían estar indicando,</w:t>
      </w:r>
      <w:r w:rsidRPr="00FC2FA3">
        <w:rPr>
          <w:rFonts w:eastAsia="MS Mincho"/>
          <w:szCs w:val="20"/>
        </w:rPr>
        <w:t xml:space="preserve"> </w:t>
      </w:r>
      <w:r w:rsidRPr="00FC2FA3">
        <w:rPr>
          <w:i/>
        </w:rPr>
        <w:t>prima facie</w:t>
      </w:r>
      <w:r w:rsidR="0005396A" w:rsidRPr="00FC2FA3">
        <w:t xml:space="preserve">, que existe una </w:t>
      </w:r>
      <w:r w:rsidRPr="00FC2FA3">
        <w:t xml:space="preserve">situación de extrema gravedad y </w:t>
      </w:r>
      <w:r w:rsidRPr="00FC2FA3">
        <w:rPr>
          <w:szCs w:val="20"/>
        </w:rPr>
        <w:t>urgencia</w:t>
      </w:r>
      <w:r w:rsidRPr="00FC2FA3">
        <w:t xml:space="preserve">, con la perspectiva de sufrir un daño irreparable, </w:t>
      </w:r>
      <w:r w:rsidR="0005396A" w:rsidRPr="00FC2FA3">
        <w:t>en contra de los familiares de Vicky Hernández</w:t>
      </w:r>
      <w:r w:rsidR="00C4550A">
        <w:t xml:space="preserve"> y de los integrantes de la organización </w:t>
      </w:r>
      <w:r w:rsidR="003F39E2">
        <w:t>Red Lésbica “</w:t>
      </w:r>
      <w:proofErr w:type="spellStart"/>
      <w:r w:rsidR="00C4550A">
        <w:t>Cat</w:t>
      </w:r>
      <w:r w:rsidR="003F39E2">
        <w:t>t</w:t>
      </w:r>
      <w:r w:rsidR="00C4550A">
        <w:t>rachas</w:t>
      </w:r>
      <w:proofErr w:type="spellEnd"/>
      <w:r w:rsidR="003F39E2">
        <w:t>”</w:t>
      </w:r>
      <w:r w:rsidRPr="00FC2FA3">
        <w:t xml:space="preserve">. </w:t>
      </w:r>
      <w:r w:rsidR="0005396A" w:rsidRPr="00FC2FA3">
        <w:t xml:space="preserve">En consecuencia, esta Corte estima pertinente </w:t>
      </w:r>
      <w:r w:rsidR="003F39E2">
        <w:t>hacer</w:t>
      </w:r>
      <w:r w:rsidR="003F39E2" w:rsidRPr="00FC2FA3">
        <w:t xml:space="preserve"> </w:t>
      </w:r>
      <w:r w:rsidR="0005396A" w:rsidRPr="00FC2FA3">
        <w:t xml:space="preserve">lugar a la solicitud de </w:t>
      </w:r>
      <w:r w:rsidR="0005396A" w:rsidRPr="00FC2FA3">
        <w:lastRenderedPageBreak/>
        <w:t>medidas provisionales de l</w:t>
      </w:r>
      <w:r w:rsidR="00FC2FA3" w:rsidRPr="00FC2FA3">
        <w:t>a</w:t>
      </w:r>
      <w:r w:rsidR="0005396A" w:rsidRPr="00FC2FA3">
        <w:t xml:space="preserve">s representantes, y ordenar al Estado </w:t>
      </w:r>
      <w:r w:rsidR="003F39E2">
        <w:t>la adopción, de forma inmediata, de</w:t>
      </w:r>
      <w:r w:rsidR="003F39E2" w:rsidRPr="00FC2FA3">
        <w:t xml:space="preserve"> </w:t>
      </w:r>
      <w:r w:rsidR="0005396A" w:rsidRPr="00FC2FA3">
        <w:t xml:space="preserve">todas las medidas necesarias para proteger la vida e integridad personal de los familiares de Vicky </w:t>
      </w:r>
      <w:r w:rsidR="00F22633" w:rsidRPr="00FC2FA3">
        <w:t>Hernández,</w:t>
      </w:r>
      <w:r w:rsidR="0005396A" w:rsidRPr="00FC2FA3">
        <w:t xml:space="preserve"> así como</w:t>
      </w:r>
      <w:r w:rsidR="00457588">
        <w:t xml:space="preserve"> de</w:t>
      </w:r>
      <w:r w:rsidR="0005396A" w:rsidRPr="00FC2FA3">
        <w:t xml:space="preserve"> l</w:t>
      </w:r>
      <w:r w:rsidR="003F39E2">
        <w:t>a</w:t>
      </w:r>
      <w:r w:rsidR="0005396A" w:rsidRPr="00FC2FA3">
        <w:t xml:space="preserve">s integrantes de la organización </w:t>
      </w:r>
      <w:r w:rsidR="003F39E2">
        <w:t>Red Lésbica “</w:t>
      </w:r>
      <w:proofErr w:type="spellStart"/>
      <w:r w:rsidR="0005396A" w:rsidRPr="00FC2FA3">
        <w:t>Ca</w:t>
      </w:r>
      <w:r w:rsidR="003F39E2">
        <w:t>t</w:t>
      </w:r>
      <w:r w:rsidR="0005396A" w:rsidRPr="00FC2FA3">
        <w:t>trachas</w:t>
      </w:r>
      <w:proofErr w:type="spellEnd"/>
      <w:r w:rsidR="003F39E2">
        <w:t>”</w:t>
      </w:r>
      <w:r w:rsidR="0005396A" w:rsidRPr="00FC2FA3">
        <w:t xml:space="preserve"> que se encuentra litigando el presente caso</w:t>
      </w:r>
      <w:r w:rsidRPr="00FC2FA3">
        <w:t xml:space="preserve">. </w:t>
      </w:r>
    </w:p>
    <w:p w14:paraId="289CFDC6" w14:textId="77777777" w:rsidR="00993188" w:rsidRPr="00FC2FA3" w:rsidRDefault="00993188" w:rsidP="007E1982">
      <w:pPr>
        <w:pStyle w:val="Prrafodelista"/>
        <w:spacing w:before="120"/>
        <w:ind w:left="0"/>
        <w:contextualSpacing w:val="0"/>
      </w:pPr>
    </w:p>
    <w:bookmarkEnd w:id="1"/>
    <w:p w14:paraId="3DA4893C" w14:textId="77777777" w:rsidR="0005396A" w:rsidRPr="001D3520" w:rsidRDefault="0005396A" w:rsidP="0005396A">
      <w:pPr>
        <w:suppressLineNumbers/>
        <w:rPr>
          <w:rFonts w:eastAsia="Verdana" w:cs="Verdana"/>
          <w:szCs w:val="20"/>
        </w:rPr>
      </w:pPr>
      <w:r w:rsidRPr="001D3520">
        <w:rPr>
          <w:rFonts w:eastAsia="Verdana" w:cs="Verdana"/>
          <w:b/>
          <w:bCs/>
          <w:szCs w:val="20"/>
        </w:rPr>
        <w:t xml:space="preserve">POR TANTO:  </w:t>
      </w:r>
    </w:p>
    <w:p w14:paraId="6C31925E" w14:textId="77777777" w:rsidR="0005396A" w:rsidRPr="001D3520" w:rsidRDefault="0005396A" w:rsidP="0005396A">
      <w:pPr>
        <w:suppressLineNumbers/>
        <w:rPr>
          <w:szCs w:val="20"/>
        </w:rPr>
      </w:pPr>
    </w:p>
    <w:p w14:paraId="44C91C9B" w14:textId="77777777" w:rsidR="0005396A" w:rsidRPr="001D3520" w:rsidRDefault="0005396A" w:rsidP="0005396A">
      <w:pPr>
        <w:suppressLineNumbers/>
        <w:rPr>
          <w:rFonts w:eastAsia="Verdana" w:cs="Verdana"/>
          <w:szCs w:val="20"/>
        </w:rPr>
      </w:pPr>
      <w:r w:rsidRPr="001D3520">
        <w:rPr>
          <w:rFonts w:eastAsia="Verdana" w:cs="Verdana"/>
          <w:b/>
          <w:bCs/>
          <w:szCs w:val="20"/>
        </w:rPr>
        <w:t>LA CORTE INTERAMERICANA DE DERECHOS HUMANOS,</w:t>
      </w:r>
    </w:p>
    <w:p w14:paraId="725B34E8" w14:textId="77777777" w:rsidR="0005396A" w:rsidRPr="001D3520" w:rsidRDefault="0005396A" w:rsidP="0005396A">
      <w:pPr>
        <w:suppressLineNumbers/>
        <w:rPr>
          <w:szCs w:val="20"/>
        </w:rPr>
      </w:pPr>
    </w:p>
    <w:p w14:paraId="300996E0" w14:textId="77777777" w:rsidR="0005396A" w:rsidRPr="001D3520" w:rsidRDefault="0005396A" w:rsidP="0005396A">
      <w:pPr>
        <w:suppressLineNumbers/>
        <w:rPr>
          <w:rFonts w:eastAsia="Verdana" w:cs="Verdana"/>
          <w:szCs w:val="20"/>
          <w:highlight w:val="yellow"/>
        </w:rPr>
      </w:pPr>
      <w:r w:rsidRPr="001D3520">
        <w:rPr>
          <w:szCs w:val="20"/>
        </w:rPr>
        <w:t>en uso de las atribuciones que le confieren los artículos 63.2 de la Convención Americana, y los artículos 24.2 del Estatuto de la Corte, y 27 y 31 del Reglamento del Tribunal,</w:t>
      </w:r>
    </w:p>
    <w:p w14:paraId="7AEDED1B" w14:textId="77777777" w:rsidR="0005396A" w:rsidRPr="001D3520" w:rsidRDefault="0005396A" w:rsidP="0005396A">
      <w:pPr>
        <w:suppressLineNumbers/>
        <w:rPr>
          <w:rFonts w:eastAsia="Verdana" w:cs="Verdana"/>
          <w:b/>
          <w:bCs/>
          <w:szCs w:val="20"/>
        </w:rPr>
      </w:pPr>
    </w:p>
    <w:p w14:paraId="14AE2DEE" w14:textId="77777777" w:rsidR="0005396A" w:rsidRPr="001D3520" w:rsidRDefault="0005396A" w:rsidP="0005396A">
      <w:pPr>
        <w:suppressLineNumbers/>
        <w:rPr>
          <w:rFonts w:eastAsia="Verdana" w:cs="Verdana"/>
          <w:szCs w:val="20"/>
        </w:rPr>
      </w:pPr>
      <w:r w:rsidRPr="001D3520">
        <w:rPr>
          <w:rFonts w:eastAsia="Verdana" w:cs="Verdana"/>
          <w:b/>
          <w:bCs/>
          <w:szCs w:val="20"/>
        </w:rPr>
        <w:t>RESUELVE:</w:t>
      </w:r>
    </w:p>
    <w:p w14:paraId="7924C685" w14:textId="77777777" w:rsidR="0005396A" w:rsidRPr="001D3520" w:rsidRDefault="0005396A" w:rsidP="0005396A">
      <w:pPr>
        <w:suppressLineNumbers/>
        <w:rPr>
          <w:rFonts w:cs="Verdana"/>
          <w:color w:val="000000"/>
          <w:sz w:val="16"/>
          <w:szCs w:val="16"/>
        </w:rPr>
      </w:pPr>
    </w:p>
    <w:p w14:paraId="54FD68B8" w14:textId="6EDB1CD9" w:rsidR="0005396A" w:rsidRDefault="0005396A" w:rsidP="0005396A">
      <w:pPr>
        <w:rPr>
          <w:rFonts w:eastAsia="Verdana" w:cs="Verdana"/>
          <w:szCs w:val="20"/>
          <w:lang w:val="es-CR"/>
        </w:rPr>
      </w:pPr>
      <w:r w:rsidRPr="00F85FDE">
        <w:rPr>
          <w:rFonts w:eastAsia="Verdana" w:cs="Verdana"/>
          <w:bCs/>
          <w:szCs w:val="20"/>
          <w:lang w:val="es-CR"/>
        </w:rPr>
        <w:t xml:space="preserve">Por </w:t>
      </w:r>
      <w:r w:rsidR="00340862">
        <w:rPr>
          <w:rFonts w:eastAsia="Verdana" w:cs="Verdana"/>
          <w:bCs/>
          <w:szCs w:val="20"/>
          <w:lang w:val="es-CR"/>
        </w:rPr>
        <w:t>unanimidad</w:t>
      </w:r>
      <w:r>
        <w:rPr>
          <w:rFonts w:eastAsia="Verdana" w:cs="Verdana"/>
          <w:szCs w:val="20"/>
          <w:lang w:val="es-CR"/>
        </w:rPr>
        <w:t>.</w:t>
      </w:r>
    </w:p>
    <w:p w14:paraId="18A73835" w14:textId="77777777" w:rsidR="0005396A" w:rsidRPr="00011845" w:rsidRDefault="0005396A" w:rsidP="0005396A">
      <w:pPr>
        <w:pStyle w:val="Prrafodelista"/>
        <w:suppressLineNumbers/>
        <w:spacing w:after="0"/>
        <w:ind w:left="0"/>
        <w:rPr>
          <w:rFonts w:ascii="Calibri" w:hAnsi="Calibri" w:cs="Calibri"/>
          <w:color w:val="000000"/>
          <w:lang w:val="es-CR"/>
        </w:rPr>
      </w:pPr>
    </w:p>
    <w:p w14:paraId="6224092A" w14:textId="6901CF90" w:rsidR="0005396A" w:rsidRPr="0088376F" w:rsidRDefault="0005396A" w:rsidP="0005396A">
      <w:pPr>
        <w:pStyle w:val="Prrafodelista"/>
        <w:numPr>
          <w:ilvl w:val="0"/>
          <w:numId w:val="19"/>
        </w:numPr>
        <w:suppressLineNumbers/>
        <w:spacing w:after="0"/>
        <w:ind w:left="0" w:firstLine="0"/>
        <w:rPr>
          <w:rFonts w:ascii="Calibri" w:hAnsi="Calibri" w:cs="Calibri"/>
          <w:color w:val="000000"/>
          <w:lang w:val="es-CR"/>
        </w:rPr>
      </w:pPr>
      <w:r w:rsidRPr="0005396A">
        <w:rPr>
          <w:rFonts w:cs="Calibri"/>
          <w:color w:val="000000"/>
          <w:szCs w:val="20"/>
        </w:rPr>
        <w:t xml:space="preserve">Requerir al Estado de Honduras que adopte </w:t>
      </w:r>
      <w:r w:rsidR="00BF198D">
        <w:rPr>
          <w:rFonts w:cs="Calibri"/>
          <w:color w:val="000000"/>
          <w:szCs w:val="20"/>
        </w:rPr>
        <w:t xml:space="preserve">inmediatamente </w:t>
      </w:r>
      <w:r w:rsidRPr="0005396A">
        <w:rPr>
          <w:rFonts w:cs="Calibri"/>
          <w:color w:val="000000"/>
          <w:szCs w:val="20"/>
        </w:rPr>
        <w:t>todas las medidas adecuadas para proteger efectivamente los derechos a la vida, e integridad personal de</w:t>
      </w:r>
      <w:r>
        <w:rPr>
          <w:rFonts w:cs="Calibri"/>
          <w:color w:val="000000"/>
          <w:szCs w:val="20"/>
        </w:rPr>
        <w:t xml:space="preserve"> los familiares de Vicky </w:t>
      </w:r>
      <w:r w:rsidR="00340862">
        <w:rPr>
          <w:rFonts w:cs="Calibri"/>
          <w:color w:val="000000"/>
          <w:szCs w:val="20"/>
        </w:rPr>
        <w:t>Hernández,</w:t>
      </w:r>
      <w:r>
        <w:rPr>
          <w:rFonts w:cs="Calibri"/>
          <w:color w:val="000000"/>
          <w:szCs w:val="20"/>
        </w:rPr>
        <w:t xml:space="preserve"> así como de los integrantes de la organización </w:t>
      </w:r>
      <w:r w:rsidR="00A45F7F" w:rsidRPr="00A45F7F">
        <w:rPr>
          <w:rFonts w:cs="Calibri"/>
          <w:color w:val="000000"/>
          <w:szCs w:val="20"/>
        </w:rPr>
        <w:t>Red Lésbica “</w:t>
      </w:r>
      <w:proofErr w:type="spellStart"/>
      <w:r w:rsidR="00A45F7F" w:rsidRPr="00A45F7F">
        <w:rPr>
          <w:rFonts w:cs="Calibri"/>
          <w:color w:val="000000"/>
          <w:szCs w:val="20"/>
        </w:rPr>
        <w:t>Cattrachas</w:t>
      </w:r>
      <w:proofErr w:type="spellEnd"/>
      <w:r w:rsidR="00A45F7F" w:rsidRPr="00A45F7F">
        <w:rPr>
          <w:rFonts w:cs="Calibri"/>
          <w:color w:val="000000"/>
          <w:szCs w:val="20"/>
        </w:rPr>
        <w:t>”</w:t>
      </w:r>
      <w:r>
        <w:rPr>
          <w:rFonts w:cs="Calibri"/>
          <w:color w:val="000000"/>
          <w:szCs w:val="20"/>
        </w:rPr>
        <w:t xml:space="preserve"> la cual se encuentra litigando el presente caso ante la Corte, de conformidad con los párrafos </w:t>
      </w:r>
      <w:r w:rsidR="00221B30">
        <w:rPr>
          <w:rFonts w:cs="Calibri"/>
          <w:color w:val="000000"/>
          <w:szCs w:val="20"/>
        </w:rPr>
        <w:t>8</w:t>
      </w:r>
      <w:r>
        <w:rPr>
          <w:rFonts w:cs="Calibri"/>
          <w:color w:val="000000"/>
          <w:szCs w:val="20"/>
        </w:rPr>
        <w:t xml:space="preserve"> a </w:t>
      </w:r>
      <w:r w:rsidR="00221B30">
        <w:rPr>
          <w:rFonts w:cs="Calibri"/>
          <w:color w:val="000000"/>
          <w:szCs w:val="20"/>
        </w:rPr>
        <w:t>17</w:t>
      </w:r>
      <w:r>
        <w:rPr>
          <w:rFonts w:cs="Calibri"/>
          <w:color w:val="000000"/>
          <w:szCs w:val="20"/>
        </w:rPr>
        <w:t xml:space="preserve"> de la presente resolución. </w:t>
      </w:r>
    </w:p>
    <w:p w14:paraId="1B808E24" w14:textId="77777777" w:rsidR="0005396A" w:rsidRPr="0088376F" w:rsidRDefault="0005396A" w:rsidP="0005396A">
      <w:pPr>
        <w:pStyle w:val="Prrafodelista"/>
        <w:rPr>
          <w:rFonts w:ascii="Calibri" w:hAnsi="Calibri" w:cs="Calibri"/>
          <w:color w:val="000000"/>
          <w:lang w:val="es-CR"/>
        </w:rPr>
      </w:pPr>
    </w:p>
    <w:p w14:paraId="62916C2D" w14:textId="5918CB24" w:rsidR="00BF198D" w:rsidRDefault="00A8301D" w:rsidP="00A8301D">
      <w:pPr>
        <w:pStyle w:val="Prrafodelista"/>
        <w:numPr>
          <w:ilvl w:val="0"/>
          <w:numId w:val="19"/>
        </w:numPr>
        <w:suppressLineNumbers/>
        <w:spacing w:after="0"/>
        <w:ind w:left="0" w:firstLine="0"/>
        <w:rPr>
          <w:szCs w:val="20"/>
        </w:rPr>
      </w:pPr>
      <w:r w:rsidRPr="00A8301D">
        <w:rPr>
          <w:szCs w:val="20"/>
        </w:rPr>
        <w:t>Requerir al Estado que</w:t>
      </w:r>
      <w:r w:rsidR="00A45F7F">
        <w:rPr>
          <w:szCs w:val="20"/>
        </w:rPr>
        <w:t xml:space="preserve"> </w:t>
      </w:r>
      <w:r w:rsidRPr="00A8301D">
        <w:rPr>
          <w:szCs w:val="20"/>
        </w:rPr>
        <w:t xml:space="preserve">dé </w:t>
      </w:r>
      <w:r w:rsidRPr="00A8301D">
        <w:rPr>
          <w:rFonts w:cs="Calibri"/>
          <w:color w:val="000000"/>
          <w:szCs w:val="20"/>
        </w:rPr>
        <w:t>participación</w:t>
      </w:r>
      <w:r w:rsidRPr="00A8301D">
        <w:rPr>
          <w:szCs w:val="20"/>
        </w:rPr>
        <w:t xml:space="preserve"> a las beneficiarias </w:t>
      </w:r>
      <w:r w:rsidR="00A45F7F" w:rsidRPr="00A8301D">
        <w:rPr>
          <w:szCs w:val="20"/>
        </w:rPr>
        <w:t xml:space="preserve">en la planificación e implementación de estas medidas </w:t>
      </w:r>
      <w:r w:rsidR="00A45F7F">
        <w:rPr>
          <w:szCs w:val="20"/>
        </w:rPr>
        <w:t>de protección</w:t>
      </w:r>
      <w:r w:rsidR="00A45F7F" w:rsidRPr="00A8301D">
        <w:rPr>
          <w:szCs w:val="20"/>
        </w:rPr>
        <w:t xml:space="preserve"> </w:t>
      </w:r>
      <w:r w:rsidRPr="00A8301D">
        <w:rPr>
          <w:szCs w:val="20"/>
        </w:rPr>
        <w:t>y que, en general, l</w:t>
      </w:r>
      <w:r w:rsidR="00A45F7F">
        <w:rPr>
          <w:szCs w:val="20"/>
        </w:rPr>
        <w:t>a</w:t>
      </w:r>
      <w:r w:rsidRPr="00A8301D">
        <w:rPr>
          <w:szCs w:val="20"/>
        </w:rPr>
        <w:t>s mantenga informadas sobre el avance de su ejecución</w:t>
      </w:r>
      <w:r w:rsidR="00BF198D">
        <w:rPr>
          <w:szCs w:val="20"/>
        </w:rPr>
        <w:t>.</w:t>
      </w:r>
    </w:p>
    <w:p w14:paraId="7FEFEBA3" w14:textId="77777777" w:rsidR="00BF198D" w:rsidRPr="00BF198D" w:rsidRDefault="00BF198D" w:rsidP="00BF198D">
      <w:pPr>
        <w:pStyle w:val="Prrafodelista"/>
        <w:rPr>
          <w:szCs w:val="20"/>
        </w:rPr>
      </w:pPr>
    </w:p>
    <w:p w14:paraId="039087A0" w14:textId="2FA185A9" w:rsidR="0005396A" w:rsidRPr="00340862" w:rsidRDefault="0005396A" w:rsidP="0005396A">
      <w:pPr>
        <w:pStyle w:val="Prrafodelista"/>
        <w:numPr>
          <w:ilvl w:val="0"/>
          <w:numId w:val="19"/>
        </w:numPr>
        <w:suppressLineNumbers/>
        <w:spacing w:after="0"/>
        <w:ind w:left="0" w:firstLine="0"/>
        <w:rPr>
          <w:szCs w:val="20"/>
        </w:rPr>
      </w:pPr>
      <w:r w:rsidRPr="00340862">
        <w:rPr>
          <w:szCs w:val="20"/>
        </w:rPr>
        <w:t>L</w:t>
      </w:r>
      <w:r w:rsidR="00577D6D" w:rsidRPr="00340862">
        <w:rPr>
          <w:szCs w:val="20"/>
        </w:rPr>
        <w:t>a</w:t>
      </w:r>
      <w:r w:rsidRPr="00340862">
        <w:rPr>
          <w:szCs w:val="20"/>
        </w:rPr>
        <w:t xml:space="preserve">s representantes deberán informar, a más tardar el día 13 de noviembre de 2020, la identidad de las personas que serán beneficiarias de las presentes medidas </w:t>
      </w:r>
      <w:r w:rsidR="00577D6D" w:rsidRPr="00340862">
        <w:rPr>
          <w:szCs w:val="20"/>
        </w:rPr>
        <w:t>provisionales</w:t>
      </w:r>
      <w:r w:rsidRPr="00340862">
        <w:rPr>
          <w:szCs w:val="20"/>
        </w:rPr>
        <w:t xml:space="preserve"> para los efectos de lo dispuesto en el punto resolutivo 1.</w:t>
      </w:r>
    </w:p>
    <w:p w14:paraId="5AAFA498" w14:textId="77777777" w:rsidR="0005396A" w:rsidRPr="001D3520" w:rsidRDefault="0005396A" w:rsidP="0005396A">
      <w:pPr>
        <w:pStyle w:val="Prrafodelista"/>
        <w:rPr>
          <w:szCs w:val="20"/>
        </w:rPr>
      </w:pPr>
    </w:p>
    <w:p w14:paraId="1F4A4026" w14:textId="570A9E3D" w:rsidR="0005396A" w:rsidRPr="001D3520" w:rsidRDefault="0005396A" w:rsidP="0005396A">
      <w:pPr>
        <w:pStyle w:val="Prrafodelista"/>
        <w:numPr>
          <w:ilvl w:val="0"/>
          <w:numId w:val="19"/>
        </w:numPr>
        <w:suppressLineNumbers/>
        <w:spacing w:after="0"/>
        <w:ind w:left="0" w:firstLine="0"/>
        <w:rPr>
          <w:szCs w:val="20"/>
        </w:rPr>
      </w:pPr>
      <w:r w:rsidRPr="001D3520">
        <w:rPr>
          <w:rFonts w:eastAsia="Times" w:cs="Times New Roman"/>
          <w:szCs w:val="20"/>
        </w:rPr>
        <w:t>Requerir al Estado que presente información actualizada a la Corte sobre las medidas de protección que fueron adoptadas a favor de las personas mencionadas en el punto resolutivo 1</w:t>
      </w:r>
      <w:r w:rsidR="00270612">
        <w:rPr>
          <w:rFonts w:eastAsia="Times" w:cs="Times New Roman"/>
          <w:szCs w:val="20"/>
        </w:rPr>
        <w:t>,</w:t>
      </w:r>
      <w:r w:rsidRPr="001D3520">
        <w:rPr>
          <w:rFonts w:eastAsia="Times" w:cs="Times New Roman"/>
          <w:szCs w:val="20"/>
        </w:rPr>
        <w:t xml:space="preserve"> a más </w:t>
      </w:r>
      <w:r w:rsidRPr="006621BF">
        <w:rPr>
          <w:rFonts w:eastAsia="Times" w:cs="Times New Roman"/>
          <w:szCs w:val="20"/>
        </w:rPr>
        <w:t xml:space="preserve">tardar el </w:t>
      </w:r>
      <w:r w:rsidR="00577D6D">
        <w:rPr>
          <w:rFonts w:eastAsia="Times" w:cs="Times New Roman"/>
          <w:szCs w:val="20"/>
        </w:rPr>
        <w:t>23</w:t>
      </w:r>
      <w:r w:rsidRPr="006621BF">
        <w:rPr>
          <w:rFonts w:eastAsia="Times" w:cs="Times New Roman"/>
          <w:b/>
          <w:bCs/>
          <w:szCs w:val="20"/>
        </w:rPr>
        <w:t xml:space="preserve"> </w:t>
      </w:r>
      <w:r w:rsidRPr="006621BF">
        <w:rPr>
          <w:rFonts w:eastAsia="Times" w:cs="Times New Roman"/>
          <w:szCs w:val="20"/>
        </w:rPr>
        <w:t>de</w:t>
      </w:r>
      <w:r w:rsidRPr="001D3520">
        <w:rPr>
          <w:rFonts w:eastAsia="Times" w:cs="Times New Roman"/>
          <w:szCs w:val="20"/>
        </w:rPr>
        <w:t xml:space="preserve"> </w:t>
      </w:r>
      <w:r w:rsidR="00577D6D">
        <w:rPr>
          <w:rFonts w:eastAsia="Times" w:cs="Times New Roman"/>
          <w:szCs w:val="20"/>
        </w:rPr>
        <w:t>noviembre</w:t>
      </w:r>
      <w:r w:rsidRPr="001D3520">
        <w:rPr>
          <w:rFonts w:eastAsia="Times" w:cs="Times New Roman"/>
          <w:szCs w:val="20"/>
        </w:rPr>
        <w:t xml:space="preserve"> de 2020.</w:t>
      </w:r>
    </w:p>
    <w:p w14:paraId="7E8BBEFA" w14:textId="77777777" w:rsidR="0005396A" w:rsidRPr="001D3520" w:rsidRDefault="0005396A" w:rsidP="0005396A">
      <w:pPr>
        <w:pStyle w:val="Prrafodelista"/>
        <w:rPr>
          <w:szCs w:val="20"/>
        </w:rPr>
      </w:pPr>
    </w:p>
    <w:p w14:paraId="522A8078" w14:textId="0D26C593" w:rsidR="0005396A" w:rsidRPr="00340862" w:rsidRDefault="0005396A" w:rsidP="0005396A">
      <w:pPr>
        <w:pStyle w:val="Prrafodelista"/>
        <w:numPr>
          <w:ilvl w:val="0"/>
          <w:numId w:val="19"/>
        </w:numPr>
        <w:suppressLineNumbers/>
        <w:spacing w:after="0"/>
        <w:ind w:left="0" w:firstLine="0"/>
        <w:rPr>
          <w:szCs w:val="20"/>
        </w:rPr>
      </w:pPr>
      <w:r w:rsidRPr="00340862">
        <w:rPr>
          <w:szCs w:val="20"/>
        </w:rPr>
        <w:t>Requerir a l</w:t>
      </w:r>
      <w:r w:rsidR="00577D6D" w:rsidRPr="00340862">
        <w:rPr>
          <w:szCs w:val="20"/>
        </w:rPr>
        <w:t>a</w:t>
      </w:r>
      <w:r w:rsidRPr="00340862">
        <w:rPr>
          <w:szCs w:val="20"/>
        </w:rPr>
        <w:t xml:space="preserve">s representantes de las </w:t>
      </w:r>
      <w:r w:rsidR="00577D6D" w:rsidRPr="00340862">
        <w:rPr>
          <w:szCs w:val="20"/>
        </w:rPr>
        <w:t>presuntas víctimas</w:t>
      </w:r>
      <w:r w:rsidRPr="00340862">
        <w:rPr>
          <w:szCs w:val="20"/>
        </w:rPr>
        <w:t xml:space="preserve"> que presenten sus observaciones dentro de un plazo de diez días a partir de la notificación del referido informe del Estado solicitado en el punto resolutivo 3, así como a la Comisión Interamericana de Derechos Humanos que presente sus observaciones a dicho informe del Estado dentro de un plazo de diez días a partir de la rece</w:t>
      </w:r>
      <w:r w:rsidR="00577D6D" w:rsidRPr="00340862">
        <w:rPr>
          <w:szCs w:val="20"/>
        </w:rPr>
        <w:t>pción de las observaciones de la</w:t>
      </w:r>
      <w:r w:rsidRPr="00340862">
        <w:rPr>
          <w:szCs w:val="20"/>
        </w:rPr>
        <w:t>s representantes.</w:t>
      </w:r>
    </w:p>
    <w:p w14:paraId="438F5AFA" w14:textId="77777777" w:rsidR="0005396A" w:rsidRPr="00340862" w:rsidRDefault="0005396A" w:rsidP="0005396A">
      <w:pPr>
        <w:pStyle w:val="Prrafodelista"/>
        <w:rPr>
          <w:szCs w:val="20"/>
        </w:rPr>
      </w:pPr>
    </w:p>
    <w:p w14:paraId="6DA20B6C" w14:textId="77777777" w:rsidR="0005396A" w:rsidRPr="00340862" w:rsidRDefault="0005396A" w:rsidP="0005396A">
      <w:pPr>
        <w:pStyle w:val="Prrafodelista"/>
        <w:numPr>
          <w:ilvl w:val="0"/>
          <w:numId w:val="19"/>
        </w:numPr>
        <w:suppressLineNumbers/>
        <w:spacing w:after="0"/>
        <w:ind w:left="0" w:firstLine="0"/>
        <w:rPr>
          <w:szCs w:val="20"/>
        </w:rPr>
      </w:pPr>
      <w:r w:rsidRPr="00340862">
        <w:rPr>
          <w:szCs w:val="20"/>
        </w:rPr>
        <w:t>Requerir al Estado que continúe informando a la Corte cada dos meses, contados a partir de la remisión de su último informe, sobre las medidas provisionales adoptadas.</w:t>
      </w:r>
    </w:p>
    <w:p w14:paraId="7C9D2FEF" w14:textId="77777777" w:rsidR="0005396A" w:rsidRPr="00340862" w:rsidRDefault="0005396A" w:rsidP="0005396A">
      <w:pPr>
        <w:pStyle w:val="Prrafodelista"/>
        <w:rPr>
          <w:szCs w:val="20"/>
        </w:rPr>
      </w:pPr>
    </w:p>
    <w:p w14:paraId="3544CDD9" w14:textId="341791A2" w:rsidR="0005396A" w:rsidRPr="00340862" w:rsidRDefault="0005396A" w:rsidP="0005396A">
      <w:pPr>
        <w:pStyle w:val="Prrafodelista"/>
        <w:numPr>
          <w:ilvl w:val="0"/>
          <w:numId w:val="19"/>
        </w:numPr>
        <w:suppressLineNumbers/>
        <w:spacing w:after="0"/>
        <w:ind w:left="0" w:firstLine="0"/>
        <w:rPr>
          <w:szCs w:val="20"/>
        </w:rPr>
      </w:pPr>
      <w:r w:rsidRPr="00340862">
        <w:rPr>
          <w:szCs w:val="20"/>
        </w:rPr>
        <w:t>Disponer que la Secretaría de la Corte notifique la presente Resolución al Estado de Honduras, a la Comisión Interamericana y a la representación de l</w:t>
      </w:r>
      <w:r w:rsidR="00577D6D" w:rsidRPr="00340862">
        <w:rPr>
          <w:szCs w:val="20"/>
        </w:rPr>
        <w:t>a</w:t>
      </w:r>
      <w:r w:rsidRPr="00340862">
        <w:rPr>
          <w:szCs w:val="20"/>
        </w:rPr>
        <w:t>s beneficiari</w:t>
      </w:r>
      <w:r w:rsidR="00577D6D" w:rsidRPr="00340862">
        <w:rPr>
          <w:szCs w:val="20"/>
        </w:rPr>
        <w:t>a</w:t>
      </w:r>
      <w:r w:rsidRPr="00340862">
        <w:rPr>
          <w:szCs w:val="20"/>
        </w:rPr>
        <w:t>s.</w:t>
      </w:r>
    </w:p>
    <w:p w14:paraId="4D45E804" w14:textId="6394E40B" w:rsidR="00E87F69" w:rsidRPr="005F6498" w:rsidRDefault="00E87F69" w:rsidP="00E87F69">
      <w:pPr>
        <w:spacing w:after="0"/>
        <w:ind w:left="4253"/>
        <w:jc w:val="center"/>
        <w:rPr>
          <w:color w:val="000000"/>
          <w:spacing w:val="-2"/>
          <w:szCs w:val="20"/>
          <w:lang w:eastAsia="es-CR"/>
        </w:rPr>
      </w:pPr>
    </w:p>
    <w:p w14:paraId="0DE2D260" w14:textId="77777777" w:rsidR="00E87F69" w:rsidRPr="005F6498" w:rsidRDefault="00E87F69" w:rsidP="00E87F69">
      <w:pPr>
        <w:spacing w:after="0"/>
        <w:ind w:left="4253"/>
        <w:jc w:val="center"/>
        <w:rPr>
          <w:color w:val="000000"/>
          <w:spacing w:val="-2"/>
          <w:szCs w:val="20"/>
          <w:lang w:eastAsia="es-CR"/>
        </w:rPr>
      </w:pPr>
    </w:p>
    <w:p w14:paraId="51AD5616" w14:textId="077A7E1A" w:rsidR="00E87F69" w:rsidRDefault="00E87F69" w:rsidP="00E87F69">
      <w:pPr>
        <w:spacing w:after="0"/>
        <w:ind w:left="4253"/>
        <w:jc w:val="center"/>
        <w:rPr>
          <w:color w:val="000000"/>
          <w:spacing w:val="-2"/>
          <w:szCs w:val="20"/>
          <w:lang w:eastAsia="es-CR"/>
        </w:rPr>
      </w:pPr>
    </w:p>
    <w:p w14:paraId="37989A30" w14:textId="77777777" w:rsidR="004C3DB3" w:rsidRPr="002D7347" w:rsidRDefault="004C3DB3" w:rsidP="004C3DB3">
      <w:pPr>
        <w:keepNext/>
        <w:outlineLvl w:val="0"/>
        <w:rPr>
          <w:szCs w:val="20"/>
          <w:lang w:val="es-ES"/>
        </w:rPr>
      </w:pPr>
      <w:r w:rsidRPr="002D7347">
        <w:rPr>
          <w:rFonts w:eastAsia="Times" w:cs="Courier New"/>
          <w:noProof/>
          <w:szCs w:val="20"/>
          <w:lang w:val="es-AR"/>
        </w:rPr>
        <w:lastRenderedPageBreak/>
        <w:t xml:space="preserve">Corte IDH. </w:t>
      </w:r>
      <w:r w:rsidRPr="002D7347">
        <w:rPr>
          <w:rFonts w:eastAsia="Times"/>
          <w:bCs/>
          <w:i/>
          <w:szCs w:val="20"/>
          <w:lang w:val="es-CR"/>
        </w:rPr>
        <w:t xml:space="preserve">Caso Vicky Hernández otros Vs. Honduras. </w:t>
      </w:r>
      <w:r w:rsidRPr="002D7347">
        <w:rPr>
          <w:rFonts w:eastAsia="Times" w:cs="Courier New"/>
          <w:noProof/>
          <w:szCs w:val="20"/>
        </w:rPr>
        <w:t>Medidas Provisionales</w:t>
      </w:r>
      <w:r w:rsidRPr="002D7347">
        <w:rPr>
          <w:rFonts w:cs="Arial"/>
          <w:szCs w:val="20"/>
        </w:rPr>
        <w:t xml:space="preserve">. </w:t>
      </w:r>
      <w:r w:rsidRPr="002D7347">
        <w:rPr>
          <w:szCs w:val="20"/>
          <w:lang w:val="es-ES"/>
        </w:rPr>
        <w:t>Resolución de la Corte Interamericana de Derechos Humanos de 12 de noviembre</w:t>
      </w:r>
      <w:r w:rsidRPr="002D7347">
        <w:rPr>
          <w:szCs w:val="20"/>
        </w:rPr>
        <w:t xml:space="preserve"> de 2020</w:t>
      </w:r>
      <w:r w:rsidRPr="002D7347">
        <w:rPr>
          <w:szCs w:val="20"/>
          <w:lang w:val="es-ES"/>
        </w:rPr>
        <w:t xml:space="preserve">. </w:t>
      </w:r>
      <w:r w:rsidRPr="002D7347">
        <w:rPr>
          <w:iCs/>
          <w:szCs w:val="20"/>
          <w:lang w:val="es-CR"/>
        </w:rPr>
        <w:t>Resolución adoptada en San José de Costa Rica por medio de sesión virtual.</w:t>
      </w:r>
    </w:p>
    <w:p w14:paraId="745FE239" w14:textId="1A8D4BE3" w:rsidR="004C3DB3" w:rsidRPr="002D7347" w:rsidRDefault="004C3DB3" w:rsidP="004C3DB3">
      <w:pPr>
        <w:spacing w:after="0"/>
        <w:jc w:val="center"/>
        <w:rPr>
          <w:rFonts w:eastAsia="Times"/>
          <w:szCs w:val="20"/>
          <w:lang w:val="es-ES"/>
        </w:rPr>
      </w:pPr>
    </w:p>
    <w:p w14:paraId="1D76AD27" w14:textId="77777777" w:rsidR="004C3DB3" w:rsidRPr="002D7347" w:rsidRDefault="004C3DB3" w:rsidP="004C3DB3">
      <w:pPr>
        <w:spacing w:after="0"/>
        <w:jc w:val="center"/>
        <w:rPr>
          <w:rFonts w:eastAsia="Times"/>
          <w:szCs w:val="20"/>
          <w:lang w:val="es-ES"/>
        </w:rPr>
      </w:pPr>
    </w:p>
    <w:p w14:paraId="6CDD822A" w14:textId="77777777" w:rsidR="004C3DB3" w:rsidRPr="002D7347" w:rsidRDefault="004C3DB3" w:rsidP="004C3DB3">
      <w:pPr>
        <w:spacing w:after="0"/>
        <w:jc w:val="center"/>
        <w:rPr>
          <w:rFonts w:eastAsia="Times"/>
          <w:szCs w:val="20"/>
          <w:lang w:val="es-ES"/>
        </w:rPr>
      </w:pPr>
    </w:p>
    <w:p w14:paraId="08D76CAA" w14:textId="77777777" w:rsidR="004C3DB3" w:rsidRPr="002D7347" w:rsidRDefault="004C3DB3" w:rsidP="004C3DB3">
      <w:pPr>
        <w:spacing w:after="0"/>
        <w:jc w:val="center"/>
        <w:rPr>
          <w:rFonts w:eastAsia="Times"/>
          <w:szCs w:val="20"/>
          <w:lang w:val="es-ES"/>
        </w:rPr>
      </w:pPr>
    </w:p>
    <w:p w14:paraId="4B705C58" w14:textId="77777777" w:rsidR="004C3DB3" w:rsidRPr="002D7347" w:rsidRDefault="004C3DB3" w:rsidP="004C3DB3">
      <w:pPr>
        <w:spacing w:after="0"/>
        <w:jc w:val="center"/>
        <w:rPr>
          <w:rFonts w:eastAsia="Times"/>
          <w:szCs w:val="20"/>
          <w:lang w:val="es-ES"/>
        </w:rPr>
      </w:pPr>
    </w:p>
    <w:p w14:paraId="30938AB7" w14:textId="77777777" w:rsidR="004C3DB3" w:rsidRPr="002D7347" w:rsidRDefault="004C3DB3" w:rsidP="004C3DB3">
      <w:pPr>
        <w:spacing w:after="0"/>
        <w:jc w:val="center"/>
        <w:rPr>
          <w:szCs w:val="20"/>
          <w:lang w:val="pt-BR"/>
        </w:rPr>
      </w:pPr>
      <w:r w:rsidRPr="002D7347">
        <w:rPr>
          <w:szCs w:val="20"/>
          <w:lang w:val="pt-BR"/>
        </w:rPr>
        <w:t xml:space="preserve">Elizabeth </w:t>
      </w:r>
      <w:proofErr w:type="spellStart"/>
      <w:r w:rsidRPr="002D7347">
        <w:rPr>
          <w:szCs w:val="20"/>
          <w:lang w:val="pt-BR"/>
        </w:rPr>
        <w:t>Odio</w:t>
      </w:r>
      <w:proofErr w:type="spellEnd"/>
      <w:r w:rsidRPr="002D7347">
        <w:rPr>
          <w:szCs w:val="20"/>
          <w:lang w:val="pt-BR"/>
        </w:rPr>
        <w:t xml:space="preserve"> Benito</w:t>
      </w:r>
    </w:p>
    <w:p w14:paraId="273D53CA" w14:textId="77777777" w:rsidR="004C3DB3" w:rsidRPr="002D7347" w:rsidRDefault="004C3DB3" w:rsidP="004C3DB3">
      <w:pPr>
        <w:spacing w:after="0"/>
        <w:jc w:val="center"/>
        <w:rPr>
          <w:szCs w:val="20"/>
          <w:lang w:val="pt-BR"/>
        </w:rPr>
      </w:pPr>
      <w:r w:rsidRPr="002D7347">
        <w:rPr>
          <w:szCs w:val="20"/>
          <w:lang w:val="pt-BR"/>
        </w:rPr>
        <w:t>Presidenta</w:t>
      </w:r>
    </w:p>
    <w:p w14:paraId="76C446E5" w14:textId="77777777" w:rsidR="004C3DB3" w:rsidRPr="002D7347" w:rsidRDefault="004C3DB3" w:rsidP="004C3DB3">
      <w:pPr>
        <w:spacing w:after="0"/>
        <w:rPr>
          <w:szCs w:val="20"/>
          <w:lang w:val="pt-BR"/>
        </w:rPr>
      </w:pPr>
    </w:p>
    <w:p w14:paraId="62E0A937" w14:textId="2ACFF477" w:rsidR="004C3DB3" w:rsidRPr="002D7347" w:rsidRDefault="004C3DB3" w:rsidP="004C3DB3">
      <w:pPr>
        <w:spacing w:after="0"/>
        <w:rPr>
          <w:szCs w:val="20"/>
          <w:lang w:val="pt-BR"/>
        </w:rPr>
      </w:pPr>
    </w:p>
    <w:p w14:paraId="5FC87DB8" w14:textId="77777777" w:rsidR="004C3DB3" w:rsidRPr="002D7347" w:rsidRDefault="004C3DB3" w:rsidP="004C3DB3">
      <w:pPr>
        <w:spacing w:after="0"/>
        <w:rPr>
          <w:szCs w:val="20"/>
          <w:lang w:val="pt-BR"/>
        </w:rPr>
      </w:pPr>
    </w:p>
    <w:p w14:paraId="298BD469" w14:textId="77777777" w:rsidR="004C3DB3" w:rsidRPr="002D7347" w:rsidRDefault="004C3DB3" w:rsidP="004C3DB3">
      <w:pPr>
        <w:spacing w:after="0"/>
        <w:rPr>
          <w:szCs w:val="20"/>
          <w:lang w:val="pt-BR"/>
        </w:rPr>
      </w:pPr>
    </w:p>
    <w:p w14:paraId="74608E71" w14:textId="77777777" w:rsidR="004C3DB3" w:rsidRPr="002D7347" w:rsidRDefault="004C3DB3" w:rsidP="004C3DB3">
      <w:pPr>
        <w:spacing w:after="0"/>
        <w:rPr>
          <w:szCs w:val="20"/>
          <w:lang w:val="pt-BR"/>
        </w:rPr>
      </w:pPr>
    </w:p>
    <w:p w14:paraId="37457E23" w14:textId="06E240F1" w:rsidR="004C3DB3" w:rsidRPr="002D7347" w:rsidRDefault="004C3DB3" w:rsidP="004C3DB3">
      <w:pPr>
        <w:spacing w:after="0"/>
        <w:rPr>
          <w:szCs w:val="20"/>
          <w:lang w:val="pt-BR"/>
        </w:rPr>
      </w:pPr>
      <w:r w:rsidRPr="002D7347">
        <w:rPr>
          <w:szCs w:val="20"/>
          <w:lang w:val="pt-BR"/>
        </w:rPr>
        <w:t>L. Patricio Pazmiño Freire</w:t>
      </w:r>
      <w:r w:rsidRPr="002D7347">
        <w:rPr>
          <w:szCs w:val="20"/>
          <w:lang w:val="pt-BR"/>
        </w:rPr>
        <w:tab/>
      </w:r>
      <w:r w:rsidRPr="002D7347">
        <w:rPr>
          <w:szCs w:val="20"/>
          <w:lang w:val="pt-BR"/>
        </w:rPr>
        <w:tab/>
      </w:r>
      <w:r w:rsidRPr="002D7347">
        <w:rPr>
          <w:szCs w:val="20"/>
          <w:lang w:val="pt-BR"/>
        </w:rPr>
        <w:tab/>
      </w:r>
      <w:r w:rsidRPr="002D7347">
        <w:rPr>
          <w:szCs w:val="20"/>
          <w:lang w:val="pt-BR"/>
        </w:rPr>
        <w:tab/>
      </w:r>
      <w:r w:rsidRPr="002D7347">
        <w:rPr>
          <w:szCs w:val="20"/>
          <w:lang w:val="pt-BR"/>
        </w:rPr>
        <w:tab/>
      </w:r>
      <w:r>
        <w:rPr>
          <w:szCs w:val="20"/>
          <w:lang w:val="pt-BR"/>
        </w:rPr>
        <w:tab/>
      </w:r>
      <w:r>
        <w:rPr>
          <w:szCs w:val="20"/>
          <w:lang w:val="pt-BR"/>
        </w:rPr>
        <w:tab/>
        <w:t xml:space="preserve">    </w:t>
      </w:r>
      <w:r w:rsidRPr="002D7347">
        <w:rPr>
          <w:szCs w:val="20"/>
          <w:lang w:val="pt-BR"/>
        </w:rPr>
        <w:t>Eduardo Vio Grossi</w:t>
      </w:r>
    </w:p>
    <w:p w14:paraId="0004CC93" w14:textId="30E20A82" w:rsidR="004C3DB3" w:rsidRPr="003E5616" w:rsidRDefault="004C3DB3" w:rsidP="004C3DB3">
      <w:pPr>
        <w:spacing w:after="0"/>
        <w:rPr>
          <w:szCs w:val="20"/>
          <w:lang w:val="pt-BR"/>
        </w:rPr>
      </w:pPr>
    </w:p>
    <w:p w14:paraId="5328DE4C" w14:textId="77777777" w:rsidR="004C3DB3" w:rsidRPr="002D7347" w:rsidRDefault="004C3DB3" w:rsidP="004C3DB3">
      <w:pPr>
        <w:spacing w:after="0"/>
        <w:rPr>
          <w:szCs w:val="20"/>
          <w:lang w:val="pt-BR"/>
        </w:rPr>
      </w:pPr>
    </w:p>
    <w:p w14:paraId="61E4DA9B" w14:textId="77777777" w:rsidR="004C3DB3" w:rsidRPr="002D7347" w:rsidRDefault="004C3DB3" w:rsidP="004C3DB3">
      <w:pPr>
        <w:spacing w:after="0"/>
        <w:rPr>
          <w:szCs w:val="20"/>
          <w:lang w:val="pt-BR"/>
        </w:rPr>
      </w:pPr>
    </w:p>
    <w:p w14:paraId="23A36193" w14:textId="77777777" w:rsidR="004C3DB3" w:rsidRPr="002D7347" w:rsidRDefault="004C3DB3" w:rsidP="004C3DB3">
      <w:pPr>
        <w:spacing w:after="0"/>
        <w:rPr>
          <w:szCs w:val="20"/>
          <w:lang w:val="pt-BR"/>
        </w:rPr>
      </w:pPr>
    </w:p>
    <w:p w14:paraId="4DE30225" w14:textId="77777777" w:rsidR="004C3DB3" w:rsidRPr="002D7347" w:rsidRDefault="004C3DB3" w:rsidP="004C3DB3">
      <w:pPr>
        <w:spacing w:after="0"/>
        <w:rPr>
          <w:szCs w:val="20"/>
          <w:lang w:val="pt-BR"/>
        </w:rPr>
      </w:pPr>
    </w:p>
    <w:p w14:paraId="18D612B2" w14:textId="77777777" w:rsidR="004C3DB3" w:rsidRPr="002D7347" w:rsidRDefault="004C3DB3" w:rsidP="004C3DB3">
      <w:pPr>
        <w:spacing w:after="0"/>
        <w:rPr>
          <w:szCs w:val="20"/>
          <w:lang w:val="pt-BR"/>
        </w:rPr>
      </w:pPr>
      <w:r w:rsidRPr="002D7347">
        <w:rPr>
          <w:rFonts w:eastAsia="Times"/>
          <w:szCs w:val="20"/>
          <w:lang w:val="pt-BR"/>
        </w:rPr>
        <w:t xml:space="preserve">Humberto </w:t>
      </w:r>
      <w:proofErr w:type="spellStart"/>
      <w:r w:rsidRPr="002D7347">
        <w:rPr>
          <w:rFonts w:eastAsia="Times"/>
          <w:szCs w:val="20"/>
          <w:lang w:val="pt-BR"/>
        </w:rPr>
        <w:t>Antonio</w:t>
      </w:r>
      <w:proofErr w:type="spellEnd"/>
      <w:r w:rsidRPr="002D7347">
        <w:rPr>
          <w:rFonts w:eastAsia="Times"/>
          <w:szCs w:val="20"/>
          <w:lang w:val="pt-BR"/>
        </w:rPr>
        <w:t xml:space="preserve"> </w:t>
      </w:r>
      <w:proofErr w:type="spellStart"/>
      <w:r w:rsidRPr="002D7347">
        <w:rPr>
          <w:rFonts w:eastAsia="Times"/>
          <w:szCs w:val="20"/>
          <w:lang w:val="pt-BR"/>
        </w:rPr>
        <w:t>Sierra</w:t>
      </w:r>
      <w:proofErr w:type="spellEnd"/>
      <w:r w:rsidRPr="002D7347">
        <w:rPr>
          <w:rFonts w:eastAsia="Times"/>
          <w:szCs w:val="20"/>
          <w:lang w:val="pt-BR"/>
        </w:rPr>
        <w:t xml:space="preserve"> Porto</w:t>
      </w:r>
      <w:r w:rsidRPr="002D7347">
        <w:rPr>
          <w:szCs w:val="20"/>
          <w:lang w:val="pt-BR"/>
        </w:rPr>
        <w:tab/>
      </w:r>
      <w:r w:rsidRPr="002D7347">
        <w:rPr>
          <w:szCs w:val="20"/>
          <w:lang w:val="pt-BR"/>
        </w:rPr>
        <w:tab/>
      </w:r>
      <w:r w:rsidRPr="002D7347">
        <w:rPr>
          <w:szCs w:val="20"/>
          <w:lang w:val="pt-BR"/>
        </w:rPr>
        <w:tab/>
      </w:r>
      <w:r>
        <w:rPr>
          <w:szCs w:val="20"/>
          <w:lang w:val="pt-BR"/>
        </w:rPr>
        <w:tab/>
        <w:t xml:space="preserve">   </w:t>
      </w:r>
      <w:r w:rsidRPr="002D7347">
        <w:rPr>
          <w:szCs w:val="20"/>
          <w:lang w:val="pt-BR"/>
        </w:rPr>
        <w:t xml:space="preserve">Eduardo Ferrer </w:t>
      </w:r>
      <w:proofErr w:type="spellStart"/>
      <w:r w:rsidRPr="002D7347">
        <w:rPr>
          <w:szCs w:val="20"/>
          <w:lang w:val="pt-BR"/>
        </w:rPr>
        <w:t>Mac-Gregor</w:t>
      </w:r>
      <w:proofErr w:type="spellEnd"/>
      <w:r w:rsidRPr="002D7347">
        <w:rPr>
          <w:szCs w:val="20"/>
          <w:lang w:val="pt-BR"/>
        </w:rPr>
        <w:t xml:space="preserve"> </w:t>
      </w:r>
      <w:proofErr w:type="spellStart"/>
      <w:r w:rsidRPr="002D7347">
        <w:rPr>
          <w:szCs w:val="20"/>
          <w:lang w:val="pt-BR"/>
        </w:rPr>
        <w:t>Poisot</w:t>
      </w:r>
      <w:proofErr w:type="spellEnd"/>
    </w:p>
    <w:p w14:paraId="6797F48E" w14:textId="6AB9F677" w:rsidR="004C3DB3" w:rsidRPr="002D7347" w:rsidRDefault="004C3DB3" w:rsidP="004C3DB3">
      <w:pPr>
        <w:spacing w:after="0"/>
        <w:rPr>
          <w:szCs w:val="20"/>
          <w:lang w:val="pt-BR"/>
        </w:rPr>
      </w:pPr>
    </w:p>
    <w:p w14:paraId="4B8DC6C6" w14:textId="7B3119E1" w:rsidR="004C3DB3" w:rsidRPr="002D7347" w:rsidRDefault="004C3DB3" w:rsidP="004C3DB3">
      <w:pPr>
        <w:spacing w:after="0"/>
        <w:rPr>
          <w:szCs w:val="20"/>
          <w:lang w:val="pt-BR"/>
        </w:rPr>
      </w:pPr>
    </w:p>
    <w:p w14:paraId="190F75F2" w14:textId="77777777" w:rsidR="004C3DB3" w:rsidRPr="002D7347" w:rsidRDefault="004C3DB3" w:rsidP="004C3DB3">
      <w:pPr>
        <w:spacing w:after="0"/>
        <w:rPr>
          <w:szCs w:val="20"/>
          <w:lang w:val="pt-BR"/>
        </w:rPr>
      </w:pPr>
    </w:p>
    <w:p w14:paraId="012C7A7E" w14:textId="25BAC719" w:rsidR="004C3DB3" w:rsidRPr="002D7347" w:rsidRDefault="004C3DB3" w:rsidP="004C3DB3">
      <w:pPr>
        <w:spacing w:after="0"/>
        <w:rPr>
          <w:szCs w:val="20"/>
          <w:lang w:val="pt-BR"/>
        </w:rPr>
      </w:pPr>
    </w:p>
    <w:p w14:paraId="2263E262" w14:textId="77777777" w:rsidR="004C3DB3" w:rsidRPr="002D7347" w:rsidRDefault="004C3DB3" w:rsidP="004C3DB3">
      <w:pPr>
        <w:spacing w:after="0"/>
        <w:rPr>
          <w:szCs w:val="20"/>
          <w:lang w:val="pt-BR"/>
        </w:rPr>
      </w:pPr>
    </w:p>
    <w:p w14:paraId="6CF07C54" w14:textId="77777777" w:rsidR="004C3DB3" w:rsidRPr="002D7347" w:rsidRDefault="004C3DB3" w:rsidP="004C3DB3">
      <w:pPr>
        <w:spacing w:after="0"/>
        <w:rPr>
          <w:szCs w:val="20"/>
          <w:lang w:val="pt-BR"/>
        </w:rPr>
      </w:pPr>
      <w:r w:rsidRPr="002D7347">
        <w:rPr>
          <w:szCs w:val="20"/>
          <w:lang w:val="pt-BR"/>
        </w:rPr>
        <w:t xml:space="preserve">Eugenio </w:t>
      </w:r>
      <w:proofErr w:type="spellStart"/>
      <w:r w:rsidRPr="002D7347">
        <w:rPr>
          <w:szCs w:val="20"/>
          <w:lang w:val="pt-BR"/>
        </w:rPr>
        <w:t>Raúl</w:t>
      </w:r>
      <w:proofErr w:type="spellEnd"/>
      <w:r w:rsidRPr="002D7347">
        <w:rPr>
          <w:szCs w:val="20"/>
          <w:lang w:val="pt-BR"/>
        </w:rPr>
        <w:t xml:space="preserve"> </w:t>
      </w:r>
      <w:proofErr w:type="spellStart"/>
      <w:r w:rsidRPr="002D7347">
        <w:rPr>
          <w:szCs w:val="20"/>
          <w:lang w:val="pt-BR"/>
        </w:rPr>
        <w:t>Zaffaroni</w:t>
      </w:r>
      <w:proofErr w:type="spellEnd"/>
      <w:r w:rsidRPr="002D7347">
        <w:rPr>
          <w:szCs w:val="20"/>
          <w:lang w:val="pt-BR"/>
        </w:rPr>
        <w:tab/>
      </w:r>
      <w:r w:rsidRPr="002D7347">
        <w:rPr>
          <w:szCs w:val="20"/>
          <w:lang w:val="pt-BR"/>
        </w:rPr>
        <w:tab/>
      </w:r>
      <w:r w:rsidRPr="002D7347">
        <w:rPr>
          <w:szCs w:val="20"/>
          <w:lang w:val="pt-BR"/>
        </w:rPr>
        <w:tab/>
      </w:r>
      <w:r w:rsidRPr="002D7347">
        <w:rPr>
          <w:szCs w:val="20"/>
          <w:lang w:val="pt-BR"/>
        </w:rPr>
        <w:tab/>
      </w:r>
      <w:r>
        <w:rPr>
          <w:szCs w:val="20"/>
          <w:lang w:val="pt-BR"/>
        </w:rPr>
        <w:tab/>
      </w:r>
      <w:r>
        <w:rPr>
          <w:szCs w:val="20"/>
          <w:lang w:val="pt-BR"/>
        </w:rPr>
        <w:tab/>
        <w:t xml:space="preserve">    </w:t>
      </w:r>
      <w:r w:rsidRPr="002D7347">
        <w:rPr>
          <w:szCs w:val="20"/>
          <w:lang w:val="pt-BR"/>
        </w:rPr>
        <w:t>Ricardo C. Pérez Manrique</w:t>
      </w:r>
    </w:p>
    <w:p w14:paraId="60DE86BB" w14:textId="77777777" w:rsidR="004C3DB3" w:rsidRPr="002D7347" w:rsidRDefault="004C3DB3" w:rsidP="004C3DB3">
      <w:pPr>
        <w:spacing w:after="0"/>
        <w:rPr>
          <w:szCs w:val="20"/>
          <w:lang w:val="pt-BR"/>
        </w:rPr>
      </w:pPr>
    </w:p>
    <w:p w14:paraId="53E39EDB" w14:textId="77777777" w:rsidR="004C3DB3" w:rsidRPr="002D7347" w:rsidRDefault="004C3DB3" w:rsidP="004C3DB3">
      <w:pPr>
        <w:spacing w:after="0"/>
        <w:rPr>
          <w:szCs w:val="20"/>
          <w:lang w:val="pt-BR"/>
        </w:rPr>
      </w:pPr>
    </w:p>
    <w:p w14:paraId="5E52191D" w14:textId="77777777" w:rsidR="004C3DB3" w:rsidRPr="002D7347" w:rsidRDefault="004C3DB3" w:rsidP="004C3DB3">
      <w:pPr>
        <w:spacing w:after="0"/>
        <w:rPr>
          <w:rFonts w:eastAsia="Times"/>
          <w:szCs w:val="20"/>
          <w:lang w:val="pt-BR"/>
        </w:rPr>
      </w:pPr>
    </w:p>
    <w:p w14:paraId="0E9A5A69" w14:textId="77777777" w:rsidR="004C3DB3" w:rsidRPr="002D7347" w:rsidRDefault="004C3DB3" w:rsidP="004C3DB3">
      <w:pPr>
        <w:spacing w:after="0"/>
        <w:rPr>
          <w:rFonts w:eastAsia="Times"/>
          <w:szCs w:val="20"/>
          <w:lang w:val="pt-BR"/>
        </w:rPr>
      </w:pPr>
    </w:p>
    <w:p w14:paraId="528B1EB2" w14:textId="77777777" w:rsidR="004C3DB3" w:rsidRPr="002D7347" w:rsidRDefault="004C3DB3" w:rsidP="004C3DB3">
      <w:pPr>
        <w:spacing w:after="0"/>
        <w:rPr>
          <w:rFonts w:eastAsia="Times"/>
          <w:szCs w:val="20"/>
          <w:lang w:val="pt-BR"/>
        </w:rPr>
      </w:pPr>
    </w:p>
    <w:p w14:paraId="3E25877A" w14:textId="77777777" w:rsidR="004C3DB3" w:rsidRPr="002D7347" w:rsidRDefault="004C3DB3" w:rsidP="004C3DB3">
      <w:pPr>
        <w:spacing w:after="0"/>
        <w:jc w:val="center"/>
        <w:rPr>
          <w:rFonts w:eastAsia="Times"/>
          <w:szCs w:val="20"/>
          <w:lang w:val="pt-BR"/>
        </w:rPr>
      </w:pPr>
      <w:r w:rsidRPr="002D7347">
        <w:rPr>
          <w:rFonts w:eastAsia="Times"/>
          <w:szCs w:val="20"/>
          <w:lang w:val="pt-BR"/>
        </w:rPr>
        <w:t xml:space="preserve">Pablo Saavedra </w:t>
      </w:r>
      <w:proofErr w:type="spellStart"/>
      <w:r w:rsidRPr="002D7347">
        <w:rPr>
          <w:rFonts w:eastAsia="Times"/>
          <w:szCs w:val="20"/>
          <w:lang w:val="pt-BR"/>
        </w:rPr>
        <w:t>Alessandri</w:t>
      </w:r>
      <w:proofErr w:type="spellEnd"/>
    </w:p>
    <w:p w14:paraId="40CB33FA" w14:textId="77777777" w:rsidR="004C3DB3" w:rsidRPr="002D7347" w:rsidRDefault="004C3DB3" w:rsidP="004C3DB3">
      <w:pPr>
        <w:spacing w:after="0"/>
        <w:jc w:val="center"/>
        <w:rPr>
          <w:rFonts w:eastAsia="Times"/>
          <w:szCs w:val="20"/>
          <w:lang w:val="pt-BR"/>
        </w:rPr>
      </w:pPr>
      <w:r w:rsidRPr="002D7347">
        <w:rPr>
          <w:rFonts w:eastAsia="Times"/>
          <w:szCs w:val="20"/>
          <w:lang w:val="pt-BR"/>
        </w:rPr>
        <w:t>Secretario</w:t>
      </w:r>
    </w:p>
    <w:p w14:paraId="4E95E3CC" w14:textId="77777777" w:rsidR="004C3DB3" w:rsidRPr="002D7347" w:rsidRDefault="004C3DB3" w:rsidP="004C3DB3">
      <w:pPr>
        <w:spacing w:after="0"/>
        <w:rPr>
          <w:rFonts w:eastAsia="Times"/>
          <w:szCs w:val="20"/>
          <w:lang w:val="pt-BR"/>
        </w:rPr>
      </w:pPr>
    </w:p>
    <w:p w14:paraId="6750EB1D" w14:textId="77777777" w:rsidR="004C3DB3" w:rsidRPr="002D7347" w:rsidRDefault="004C3DB3" w:rsidP="004C3DB3">
      <w:pPr>
        <w:spacing w:after="0"/>
        <w:rPr>
          <w:rFonts w:eastAsia="Times"/>
          <w:szCs w:val="20"/>
          <w:lang w:val="pt-BR"/>
        </w:rPr>
      </w:pPr>
    </w:p>
    <w:p w14:paraId="2658A7DB" w14:textId="77777777" w:rsidR="004C3DB3" w:rsidRPr="002D7347" w:rsidRDefault="004C3DB3" w:rsidP="004C3DB3">
      <w:pPr>
        <w:spacing w:after="0"/>
        <w:rPr>
          <w:rFonts w:eastAsia="Times"/>
          <w:szCs w:val="20"/>
          <w:lang w:val="pt-BR"/>
        </w:rPr>
      </w:pPr>
    </w:p>
    <w:p w14:paraId="322C3AC0" w14:textId="77777777" w:rsidR="004C3DB3" w:rsidRPr="002D7347" w:rsidRDefault="004C3DB3" w:rsidP="004C3DB3">
      <w:pPr>
        <w:spacing w:after="0"/>
        <w:rPr>
          <w:rFonts w:eastAsia="Times"/>
          <w:szCs w:val="20"/>
          <w:lang w:val="pt-BR"/>
        </w:rPr>
      </w:pPr>
    </w:p>
    <w:p w14:paraId="65D6A872" w14:textId="0974D563" w:rsidR="004C3DB3" w:rsidRPr="002D7347" w:rsidRDefault="004C3DB3" w:rsidP="004C3DB3">
      <w:pPr>
        <w:spacing w:after="0"/>
        <w:rPr>
          <w:rFonts w:eastAsia="Times"/>
          <w:szCs w:val="20"/>
          <w:lang w:val="pt-BR"/>
        </w:rPr>
      </w:pPr>
      <w:proofErr w:type="spellStart"/>
      <w:r w:rsidRPr="002D7347">
        <w:rPr>
          <w:rFonts w:eastAsia="Times"/>
          <w:szCs w:val="20"/>
          <w:lang w:val="pt-BR"/>
        </w:rPr>
        <w:t>Comuníquese</w:t>
      </w:r>
      <w:proofErr w:type="spellEnd"/>
      <w:r w:rsidRPr="002D7347">
        <w:rPr>
          <w:rFonts w:eastAsia="Times"/>
          <w:szCs w:val="20"/>
          <w:lang w:val="pt-BR"/>
        </w:rPr>
        <w:t xml:space="preserve"> y </w:t>
      </w:r>
      <w:proofErr w:type="spellStart"/>
      <w:r w:rsidRPr="002D7347">
        <w:rPr>
          <w:rFonts w:eastAsia="Times"/>
          <w:szCs w:val="20"/>
          <w:lang w:val="pt-BR"/>
        </w:rPr>
        <w:t>ejecútese</w:t>
      </w:r>
      <w:proofErr w:type="spellEnd"/>
      <w:r w:rsidRPr="002D7347">
        <w:rPr>
          <w:rFonts w:eastAsia="Times"/>
          <w:szCs w:val="20"/>
          <w:lang w:val="pt-BR"/>
        </w:rPr>
        <w:t>,</w:t>
      </w:r>
    </w:p>
    <w:p w14:paraId="77090F4D" w14:textId="77777777" w:rsidR="004C3DB3" w:rsidRPr="002D7347" w:rsidRDefault="004C3DB3" w:rsidP="004C3DB3">
      <w:pPr>
        <w:spacing w:after="0"/>
        <w:rPr>
          <w:rFonts w:eastAsia="Times"/>
          <w:szCs w:val="20"/>
          <w:lang w:val="pt-BR"/>
        </w:rPr>
      </w:pPr>
    </w:p>
    <w:p w14:paraId="319D00C6" w14:textId="622AFF7E" w:rsidR="004C3DB3" w:rsidRPr="002D7347" w:rsidRDefault="004C3DB3" w:rsidP="004C3DB3">
      <w:pPr>
        <w:spacing w:after="0"/>
        <w:rPr>
          <w:rFonts w:eastAsia="Times"/>
          <w:szCs w:val="20"/>
          <w:lang w:val="pt-BR"/>
        </w:rPr>
      </w:pPr>
    </w:p>
    <w:p w14:paraId="6F3372E2" w14:textId="77777777" w:rsidR="004C3DB3" w:rsidRPr="002D7347" w:rsidRDefault="004C3DB3" w:rsidP="004C3DB3">
      <w:pPr>
        <w:spacing w:after="0"/>
        <w:rPr>
          <w:rFonts w:eastAsia="Times"/>
          <w:szCs w:val="20"/>
          <w:lang w:val="pt-BR"/>
        </w:rPr>
      </w:pPr>
    </w:p>
    <w:p w14:paraId="23CB48D5" w14:textId="77777777" w:rsidR="004C3DB3" w:rsidRPr="002D7347" w:rsidRDefault="004C3DB3" w:rsidP="004C3DB3">
      <w:pPr>
        <w:spacing w:after="0"/>
        <w:rPr>
          <w:rFonts w:eastAsia="Times"/>
          <w:szCs w:val="20"/>
          <w:lang w:val="pt-BR"/>
        </w:rPr>
      </w:pPr>
    </w:p>
    <w:p w14:paraId="48B5C941" w14:textId="77777777" w:rsidR="004C3DB3" w:rsidRPr="002D7347" w:rsidRDefault="004C3DB3" w:rsidP="004C3DB3">
      <w:pPr>
        <w:spacing w:after="0"/>
        <w:ind w:left="4248" w:firstLine="708"/>
        <w:jc w:val="center"/>
        <w:rPr>
          <w:rFonts w:eastAsia="Times"/>
          <w:szCs w:val="20"/>
          <w:lang w:val="pt-BR"/>
        </w:rPr>
      </w:pPr>
      <w:r w:rsidRPr="002D7347">
        <w:rPr>
          <w:rFonts w:eastAsia="Times"/>
          <w:szCs w:val="20"/>
          <w:lang w:val="pt-BR"/>
        </w:rPr>
        <w:t xml:space="preserve">Elizabeth </w:t>
      </w:r>
      <w:proofErr w:type="spellStart"/>
      <w:r w:rsidRPr="002D7347">
        <w:rPr>
          <w:rFonts w:eastAsia="Times"/>
          <w:szCs w:val="20"/>
          <w:lang w:val="pt-BR"/>
        </w:rPr>
        <w:t>Odio</w:t>
      </w:r>
      <w:proofErr w:type="spellEnd"/>
      <w:r w:rsidRPr="002D7347">
        <w:rPr>
          <w:rFonts w:eastAsia="Times"/>
          <w:szCs w:val="20"/>
          <w:lang w:val="pt-BR"/>
        </w:rPr>
        <w:t xml:space="preserve"> Benito</w:t>
      </w:r>
    </w:p>
    <w:p w14:paraId="00F68D19" w14:textId="77777777" w:rsidR="004C3DB3" w:rsidRPr="002D7347" w:rsidRDefault="004C3DB3" w:rsidP="004C3DB3">
      <w:pPr>
        <w:spacing w:after="0"/>
        <w:ind w:left="4248" w:firstLine="708"/>
        <w:jc w:val="center"/>
        <w:rPr>
          <w:rFonts w:eastAsia="Times"/>
          <w:szCs w:val="20"/>
          <w:lang w:val="pt-BR"/>
        </w:rPr>
      </w:pPr>
      <w:r w:rsidRPr="002D7347">
        <w:rPr>
          <w:rFonts w:eastAsia="Times"/>
          <w:szCs w:val="20"/>
          <w:lang w:val="pt-BR"/>
        </w:rPr>
        <w:t>Presidenta</w:t>
      </w:r>
    </w:p>
    <w:p w14:paraId="0D8F9A54" w14:textId="77777777" w:rsidR="004C3DB3" w:rsidRPr="002D7347" w:rsidRDefault="004C3DB3" w:rsidP="004C3DB3">
      <w:pPr>
        <w:spacing w:after="0"/>
        <w:rPr>
          <w:rFonts w:eastAsia="Times"/>
          <w:szCs w:val="20"/>
          <w:lang w:val="pt-BR"/>
        </w:rPr>
      </w:pPr>
    </w:p>
    <w:p w14:paraId="59203C5E" w14:textId="77777777" w:rsidR="004C3DB3" w:rsidRPr="002D7347" w:rsidRDefault="004C3DB3" w:rsidP="004C3DB3">
      <w:pPr>
        <w:spacing w:after="0"/>
        <w:rPr>
          <w:rFonts w:eastAsia="Times"/>
          <w:szCs w:val="20"/>
          <w:lang w:val="pt-BR"/>
        </w:rPr>
      </w:pPr>
    </w:p>
    <w:p w14:paraId="44B8BBCD" w14:textId="77777777" w:rsidR="004C3DB3" w:rsidRPr="002D7347" w:rsidRDefault="004C3DB3" w:rsidP="004C3DB3">
      <w:pPr>
        <w:spacing w:after="0"/>
        <w:rPr>
          <w:rFonts w:eastAsia="Times"/>
          <w:szCs w:val="20"/>
          <w:lang w:val="pt-BR"/>
        </w:rPr>
      </w:pPr>
    </w:p>
    <w:p w14:paraId="7E097AF0" w14:textId="77777777" w:rsidR="004C3DB3" w:rsidRPr="002D7347" w:rsidRDefault="004C3DB3" w:rsidP="004C3DB3">
      <w:pPr>
        <w:spacing w:after="0"/>
        <w:rPr>
          <w:rFonts w:eastAsia="Times"/>
          <w:szCs w:val="20"/>
          <w:lang w:val="pt-BR"/>
        </w:rPr>
      </w:pPr>
    </w:p>
    <w:p w14:paraId="4CBE56BA" w14:textId="77777777" w:rsidR="004C3DB3" w:rsidRPr="002D7347" w:rsidRDefault="004C3DB3" w:rsidP="004C3DB3">
      <w:pPr>
        <w:spacing w:after="0"/>
        <w:rPr>
          <w:rFonts w:eastAsia="Times"/>
          <w:szCs w:val="20"/>
          <w:lang w:val="pt-BR"/>
        </w:rPr>
      </w:pPr>
      <w:r w:rsidRPr="002D7347">
        <w:rPr>
          <w:rFonts w:eastAsia="Times"/>
          <w:szCs w:val="20"/>
          <w:lang w:val="pt-BR"/>
        </w:rPr>
        <w:t xml:space="preserve">Pablo Saavedra </w:t>
      </w:r>
      <w:proofErr w:type="spellStart"/>
      <w:r w:rsidRPr="002D7347">
        <w:rPr>
          <w:rFonts w:eastAsia="Times"/>
          <w:szCs w:val="20"/>
          <w:lang w:val="pt-BR"/>
        </w:rPr>
        <w:t>Alessandri</w:t>
      </w:r>
      <w:proofErr w:type="spellEnd"/>
    </w:p>
    <w:p w14:paraId="3D11FC0E" w14:textId="77777777" w:rsidR="004C3DB3" w:rsidRPr="002D7347" w:rsidRDefault="004C3DB3" w:rsidP="004C3DB3">
      <w:pPr>
        <w:spacing w:after="0"/>
        <w:rPr>
          <w:szCs w:val="20"/>
        </w:rPr>
      </w:pPr>
      <w:r w:rsidRPr="002D7347">
        <w:rPr>
          <w:rFonts w:eastAsia="Times"/>
          <w:szCs w:val="20"/>
          <w:lang w:val="pt-BR"/>
        </w:rPr>
        <w:tab/>
      </w:r>
      <w:r w:rsidRPr="002D7347">
        <w:rPr>
          <w:rFonts w:eastAsia="Times"/>
          <w:szCs w:val="20"/>
          <w:lang w:val="es-CR"/>
        </w:rPr>
        <w:t>Secretario</w:t>
      </w:r>
    </w:p>
    <w:sectPr w:rsidR="004C3DB3" w:rsidRPr="002D7347" w:rsidSect="004C3DB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4F9A3" w14:textId="77777777" w:rsidR="004E12FB" w:rsidRDefault="004E12FB" w:rsidP="00534E68">
      <w:pPr>
        <w:spacing w:after="0"/>
      </w:pPr>
      <w:r>
        <w:separator/>
      </w:r>
    </w:p>
  </w:endnote>
  <w:endnote w:type="continuationSeparator" w:id="0">
    <w:p w14:paraId="0593780E" w14:textId="77777777" w:rsidR="004E12FB" w:rsidRDefault="004E12FB" w:rsidP="00534E68">
      <w:pPr>
        <w:spacing w:after="0"/>
      </w:pPr>
      <w:r>
        <w:continuationSeparator/>
      </w:r>
    </w:p>
  </w:endnote>
  <w:endnote w:type="continuationNotice" w:id="1">
    <w:p w14:paraId="6A87B5D8" w14:textId="77777777" w:rsidR="004E12FB" w:rsidRDefault="004E1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670126"/>
      <w:docPartObj>
        <w:docPartGallery w:val="Page Numbers (Bottom of Page)"/>
        <w:docPartUnique/>
      </w:docPartObj>
    </w:sdtPr>
    <w:sdtEndPr/>
    <w:sdtContent>
      <w:p w14:paraId="4675BEFB" w14:textId="7E998042" w:rsidR="004C3DB3" w:rsidRDefault="004C3DB3">
        <w:pPr>
          <w:pStyle w:val="Piedepgina"/>
          <w:jc w:val="center"/>
        </w:pPr>
        <w:r>
          <w:fldChar w:fldCharType="begin"/>
        </w:r>
        <w:r>
          <w:instrText>PAGE   \* MERGEFORMAT</w:instrText>
        </w:r>
        <w:r>
          <w:fldChar w:fldCharType="separate"/>
        </w:r>
        <w:r>
          <w:rPr>
            <w:lang w:val="es-ES"/>
          </w:rPr>
          <w:t>2</w:t>
        </w:r>
        <w:r>
          <w:fldChar w:fldCharType="end"/>
        </w:r>
      </w:p>
    </w:sdtContent>
  </w:sdt>
  <w:p w14:paraId="3B20605E" w14:textId="77777777" w:rsidR="007E1982" w:rsidRDefault="007E1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5F6F0" w14:textId="77777777" w:rsidR="004E12FB" w:rsidRDefault="004E12FB" w:rsidP="00534E68">
      <w:pPr>
        <w:spacing w:after="0"/>
      </w:pPr>
      <w:r>
        <w:separator/>
      </w:r>
    </w:p>
  </w:footnote>
  <w:footnote w:type="continuationSeparator" w:id="0">
    <w:p w14:paraId="0870A7A6" w14:textId="77777777" w:rsidR="004E12FB" w:rsidRDefault="004E12FB" w:rsidP="00534E68">
      <w:pPr>
        <w:spacing w:after="0"/>
      </w:pPr>
      <w:r>
        <w:continuationSeparator/>
      </w:r>
    </w:p>
  </w:footnote>
  <w:footnote w:type="continuationNotice" w:id="1">
    <w:p w14:paraId="709ACDBD" w14:textId="77777777" w:rsidR="004E12FB" w:rsidRDefault="004E12FB">
      <w:pPr>
        <w:spacing w:after="0"/>
      </w:pPr>
    </w:p>
  </w:footnote>
  <w:footnote w:id="2">
    <w:p w14:paraId="376057A6" w14:textId="77777777" w:rsidR="00E020F6" w:rsidRPr="00005AF5" w:rsidRDefault="00E020F6" w:rsidP="006D267B">
      <w:pPr>
        <w:pStyle w:val="Textonotapie"/>
        <w:spacing w:before="120" w:after="120"/>
        <w:rPr>
          <w:sz w:val="16"/>
          <w:szCs w:val="16"/>
          <w:lang w:val="es-MX"/>
        </w:rPr>
      </w:pPr>
      <w:r w:rsidRPr="00005AF5">
        <w:rPr>
          <w:rStyle w:val="Refdenotaalpie"/>
          <w:szCs w:val="16"/>
        </w:rPr>
        <w:footnoteRef/>
      </w:r>
      <w:r w:rsidRPr="00005AF5">
        <w:rPr>
          <w:sz w:val="16"/>
          <w:szCs w:val="16"/>
        </w:rPr>
        <w:t xml:space="preserve"> </w:t>
      </w:r>
      <w:r>
        <w:rPr>
          <w:sz w:val="16"/>
          <w:szCs w:val="16"/>
        </w:rPr>
        <w:tab/>
      </w:r>
      <w:r w:rsidRPr="00005AF5">
        <w:rPr>
          <w:i/>
          <w:sz w:val="16"/>
          <w:szCs w:val="16"/>
        </w:rPr>
        <w:t xml:space="preserve">Cfr. Asunto Diecisiete Personas Privadas de Libertad respecto de Nicaragua. Solicitud de ampliación de medidas provisionales. </w:t>
      </w:r>
      <w:r w:rsidRPr="007E1982">
        <w:rPr>
          <w:i/>
          <w:sz w:val="16"/>
        </w:rPr>
        <w:t>Resolución de la Corte Interamericana de Derechos Humanos de 14 de octubre de 2019</w:t>
      </w:r>
      <w:r w:rsidRPr="00005AF5">
        <w:rPr>
          <w:sz w:val="16"/>
          <w:szCs w:val="16"/>
        </w:rPr>
        <w:t xml:space="preserve">, Considerando 9, y </w:t>
      </w:r>
      <w:r w:rsidRPr="00005AF5">
        <w:rPr>
          <w:i/>
          <w:sz w:val="16"/>
          <w:szCs w:val="16"/>
        </w:rPr>
        <w:t>Caso 19 Comerciantes Vs. Colombia. Ampliación de Medidas Provisionales</w:t>
      </w:r>
      <w:r w:rsidRPr="00005AF5">
        <w:rPr>
          <w:sz w:val="16"/>
          <w:szCs w:val="16"/>
        </w:rPr>
        <w:t xml:space="preserve">. Resolución de la </w:t>
      </w:r>
      <w:proofErr w:type="gramStart"/>
      <w:r w:rsidRPr="00005AF5">
        <w:rPr>
          <w:sz w:val="16"/>
          <w:szCs w:val="16"/>
        </w:rPr>
        <w:t>Presidenta</w:t>
      </w:r>
      <w:proofErr w:type="gramEnd"/>
      <w:r w:rsidRPr="00005AF5">
        <w:rPr>
          <w:sz w:val="16"/>
          <w:szCs w:val="16"/>
        </w:rPr>
        <w:t xml:space="preserve"> de la Corte Interam</w:t>
      </w:r>
      <w:r>
        <w:rPr>
          <w:sz w:val="16"/>
          <w:szCs w:val="16"/>
        </w:rPr>
        <w:t>ericana de Derechos Humanos de 1 de junio de 2020, Considerando 2</w:t>
      </w:r>
      <w:r w:rsidRPr="00005AF5">
        <w:rPr>
          <w:sz w:val="16"/>
          <w:szCs w:val="16"/>
        </w:rPr>
        <w:t>8.</w:t>
      </w:r>
    </w:p>
  </w:footnote>
  <w:footnote w:id="3">
    <w:p w14:paraId="060F3C45" w14:textId="77777777" w:rsidR="00E020F6" w:rsidRPr="00A968DA" w:rsidRDefault="00E020F6" w:rsidP="006D267B">
      <w:pPr>
        <w:tabs>
          <w:tab w:val="left" w:pos="567"/>
        </w:tabs>
        <w:spacing w:before="120"/>
        <w:rPr>
          <w:iCs/>
          <w:sz w:val="16"/>
          <w:szCs w:val="16"/>
          <w:lang w:val="es-ES"/>
        </w:rPr>
      </w:pPr>
      <w:r w:rsidRPr="00A968DA">
        <w:rPr>
          <w:rStyle w:val="Refdenotaalpie"/>
          <w:szCs w:val="16"/>
        </w:rPr>
        <w:footnoteRef/>
      </w:r>
      <w:r w:rsidRPr="00A968DA">
        <w:rPr>
          <w:sz w:val="16"/>
          <w:szCs w:val="16"/>
        </w:rPr>
        <w:tab/>
      </w:r>
      <w:r w:rsidRPr="00A968DA">
        <w:rPr>
          <w:i/>
          <w:iCs/>
          <w:sz w:val="16"/>
          <w:szCs w:val="16"/>
          <w:lang w:val="es-ES"/>
        </w:rPr>
        <w:t xml:space="preserve">Cfr. Asunto Belfort Istúriz y otros respecto </w:t>
      </w:r>
      <w:r>
        <w:rPr>
          <w:i/>
          <w:iCs/>
          <w:sz w:val="16"/>
          <w:szCs w:val="16"/>
          <w:lang w:val="es-ES"/>
        </w:rPr>
        <w:t xml:space="preserve">de </w:t>
      </w:r>
      <w:r w:rsidRPr="00A968DA">
        <w:rPr>
          <w:i/>
          <w:iCs/>
          <w:sz w:val="16"/>
          <w:szCs w:val="16"/>
          <w:lang w:val="es-ES"/>
        </w:rPr>
        <w:t xml:space="preserve">Venezuela. Medidas Provisionales. </w:t>
      </w:r>
      <w:r w:rsidRPr="00A968DA">
        <w:rPr>
          <w:iCs/>
          <w:sz w:val="16"/>
          <w:szCs w:val="16"/>
          <w:lang w:val="es-ES"/>
        </w:rPr>
        <w:t xml:space="preserve">Resolución de la Corte </w:t>
      </w:r>
      <w:r w:rsidRPr="00A968DA">
        <w:rPr>
          <w:sz w:val="16"/>
          <w:szCs w:val="16"/>
          <w:lang w:val="es-CR"/>
        </w:rPr>
        <w:t xml:space="preserve">Interamericana de Derechos Humanos </w:t>
      </w:r>
      <w:r w:rsidRPr="00A968DA">
        <w:rPr>
          <w:iCs/>
          <w:sz w:val="16"/>
          <w:szCs w:val="16"/>
          <w:lang w:val="es-ES"/>
        </w:rPr>
        <w:t>de 15 de abril de 2010, Considerando 5,</w:t>
      </w:r>
      <w:r w:rsidRPr="00A968DA">
        <w:rPr>
          <w:sz w:val="16"/>
          <w:szCs w:val="16"/>
        </w:rPr>
        <w:t xml:space="preserve"> y </w:t>
      </w:r>
      <w:r w:rsidRPr="00A968DA">
        <w:rPr>
          <w:i/>
          <w:sz w:val="16"/>
          <w:szCs w:val="16"/>
        </w:rPr>
        <w:t xml:space="preserve">Caso Urrutia </w:t>
      </w:r>
      <w:proofErr w:type="spellStart"/>
      <w:r w:rsidRPr="00A968DA">
        <w:rPr>
          <w:i/>
          <w:sz w:val="16"/>
          <w:szCs w:val="16"/>
        </w:rPr>
        <w:t>Laubreaux</w:t>
      </w:r>
      <w:proofErr w:type="spellEnd"/>
      <w:r w:rsidRPr="00A968DA">
        <w:rPr>
          <w:i/>
          <w:sz w:val="16"/>
          <w:szCs w:val="16"/>
        </w:rPr>
        <w:t xml:space="preserve"> Vs. Chile. Solicitud de Medidas Provisionales</w:t>
      </w:r>
      <w:r w:rsidRPr="00A968DA">
        <w:rPr>
          <w:sz w:val="16"/>
          <w:szCs w:val="16"/>
        </w:rPr>
        <w:t>. Resolución de la Corte Interamericana de Derechos Humanos de 12 de marzo de 2020, Considerando 3.</w:t>
      </w:r>
    </w:p>
  </w:footnote>
  <w:footnote w:id="4">
    <w:p w14:paraId="66ECC395" w14:textId="482BE55B" w:rsidR="00345E08" w:rsidRPr="00345E08" w:rsidRDefault="00345E08" w:rsidP="006D267B">
      <w:pPr>
        <w:pStyle w:val="Textonotapie"/>
        <w:spacing w:before="120" w:after="120"/>
        <w:rPr>
          <w:sz w:val="16"/>
          <w:szCs w:val="16"/>
          <w:lang w:val="es-ES"/>
        </w:rPr>
      </w:pPr>
      <w:r w:rsidRPr="00345E08">
        <w:rPr>
          <w:rStyle w:val="Refdenotaalpie"/>
          <w:sz w:val="16"/>
          <w:szCs w:val="16"/>
        </w:rPr>
        <w:footnoteRef/>
      </w:r>
      <w:r w:rsidRPr="00345E08">
        <w:rPr>
          <w:sz w:val="16"/>
          <w:szCs w:val="16"/>
        </w:rPr>
        <w:t xml:space="preserve"> </w:t>
      </w:r>
      <w:r w:rsidRPr="00345E08">
        <w:rPr>
          <w:sz w:val="16"/>
          <w:szCs w:val="16"/>
          <w:lang w:val="es-ES"/>
        </w:rPr>
        <w:tab/>
      </w:r>
      <w:r w:rsidRPr="00345E08">
        <w:rPr>
          <w:i/>
          <w:sz w:val="16"/>
          <w:szCs w:val="16"/>
          <w:lang w:val="es-ES"/>
        </w:rPr>
        <w:t xml:space="preserve">Cfr. </w:t>
      </w:r>
      <w:r w:rsidRPr="007E1982">
        <w:rPr>
          <w:i/>
          <w:iCs/>
          <w:sz w:val="16"/>
          <w:lang w:val="es-ES"/>
        </w:rPr>
        <w:t xml:space="preserve">Asunto Pueblo Indígena </w:t>
      </w:r>
      <w:proofErr w:type="spellStart"/>
      <w:r w:rsidRPr="007E1982">
        <w:rPr>
          <w:i/>
          <w:iCs/>
          <w:sz w:val="16"/>
          <w:lang w:val="es-ES"/>
        </w:rPr>
        <w:t>Sarayaku</w:t>
      </w:r>
      <w:proofErr w:type="spellEnd"/>
      <w:r w:rsidRPr="007E1982">
        <w:rPr>
          <w:i/>
          <w:iCs/>
          <w:sz w:val="16"/>
          <w:lang w:val="es-ES"/>
        </w:rPr>
        <w:t xml:space="preserve"> respecto Ecuador</w:t>
      </w:r>
      <w:r w:rsidRPr="007E1982">
        <w:rPr>
          <w:i/>
          <w:iCs/>
          <w:sz w:val="16"/>
          <w:szCs w:val="16"/>
          <w:lang w:val="es-ES"/>
        </w:rPr>
        <w:t xml:space="preserve">. </w:t>
      </w:r>
      <w:r w:rsidRPr="007E1982">
        <w:rPr>
          <w:i/>
          <w:iCs/>
          <w:sz w:val="16"/>
          <w:lang w:val="es-ES"/>
        </w:rPr>
        <w:t>Medidas Provisionales</w:t>
      </w:r>
      <w:r w:rsidRPr="00345E08">
        <w:rPr>
          <w:sz w:val="16"/>
          <w:szCs w:val="16"/>
          <w:lang w:val="es-ES"/>
        </w:rPr>
        <w:t xml:space="preserve">. Resolución de la Corte Interamericana de Derechos Humanos de 6 de julio de 2004, Considerando 12, y </w:t>
      </w:r>
      <w:r w:rsidR="007E1982" w:rsidRPr="007E1982">
        <w:rPr>
          <w:i/>
          <w:iCs/>
          <w:sz w:val="16"/>
          <w:szCs w:val="16"/>
          <w:lang w:val="es-ES"/>
        </w:rPr>
        <w:t xml:space="preserve">Asunto diecisiete personas privadas de libertad respecto de Nicaragua. Medidas Provisionales. </w:t>
      </w:r>
      <w:r w:rsidR="007E1982" w:rsidRPr="007E1982">
        <w:rPr>
          <w:sz w:val="16"/>
          <w:szCs w:val="16"/>
          <w:lang w:val="es-ES"/>
        </w:rPr>
        <w:t>Resolución de la Corte Interamericana de Derechos Humanos de 14 de octubre de 2019, considerando 16.</w:t>
      </w:r>
    </w:p>
  </w:footnote>
  <w:footnote w:id="5">
    <w:p w14:paraId="02877D08" w14:textId="22A86C5D" w:rsidR="006D267B" w:rsidRPr="006D267B" w:rsidRDefault="006D267B" w:rsidP="006D267B">
      <w:pPr>
        <w:pStyle w:val="Textonotapie"/>
        <w:spacing w:before="120" w:after="120"/>
        <w:rPr>
          <w:sz w:val="16"/>
          <w:szCs w:val="16"/>
          <w:lang w:val="es-ES"/>
        </w:rPr>
      </w:pPr>
      <w:r w:rsidRPr="006D267B">
        <w:rPr>
          <w:rStyle w:val="Refdenotaalpie"/>
          <w:sz w:val="16"/>
          <w:szCs w:val="16"/>
        </w:rPr>
        <w:footnoteRef/>
      </w:r>
      <w:r w:rsidRPr="006D267B">
        <w:rPr>
          <w:sz w:val="16"/>
          <w:szCs w:val="16"/>
        </w:rPr>
        <w:t xml:space="preserve"> </w:t>
      </w:r>
      <w:r w:rsidRPr="006D267B">
        <w:rPr>
          <w:sz w:val="16"/>
          <w:szCs w:val="16"/>
          <w:lang w:val="es-ES"/>
        </w:rPr>
        <w:tab/>
      </w:r>
      <w:r w:rsidR="007E1982" w:rsidRPr="006D267B">
        <w:rPr>
          <w:i/>
          <w:sz w:val="16"/>
          <w:szCs w:val="16"/>
          <w:lang w:val="es-ES"/>
        </w:rPr>
        <w:t>Cfr.</w:t>
      </w:r>
      <w:r w:rsidR="007E1982" w:rsidRPr="006D267B">
        <w:rPr>
          <w:sz w:val="16"/>
          <w:szCs w:val="16"/>
          <w:lang w:val="es-ES"/>
        </w:rPr>
        <w:t xml:space="preserve"> </w:t>
      </w:r>
      <w:r w:rsidR="007E1982" w:rsidRPr="006D267B">
        <w:rPr>
          <w:i/>
          <w:iCs/>
          <w:sz w:val="16"/>
          <w:szCs w:val="16"/>
        </w:rPr>
        <w:t xml:space="preserve">Caso de los Hermanos Gómez </w:t>
      </w:r>
      <w:proofErr w:type="spellStart"/>
      <w:r w:rsidR="007E1982" w:rsidRPr="006D267B">
        <w:rPr>
          <w:i/>
          <w:iCs/>
          <w:sz w:val="16"/>
          <w:szCs w:val="16"/>
        </w:rPr>
        <w:t>Paquiyauri</w:t>
      </w:r>
      <w:proofErr w:type="spellEnd"/>
      <w:r w:rsidR="007E1982" w:rsidRPr="006D267B">
        <w:rPr>
          <w:i/>
          <w:iCs/>
          <w:sz w:val="16"/>
          <w:szCs w:val="16"/>
        </w:rPr>
        <w:t xml:space="preserve"> respecto Perú. Medidas Provisionales. </w:t>
      </w:r>
      <w:r w:rsidR="007E1982" w:rsidRPr="006D267B">
        <w:rPr>
          <w:iCs/>
          <w:sz w:val="16"/>
          <w:szCs w:val="16"/>
        </w:rPr>
        <w:t>Resolución de la Corte Interamericana de Derechos Humanos de 7 de mayo de 2004</w:t>
      </w:r>
      <w:r w:rsidR="007E1982" w:rsidRPr="006D267B">
        <w:rPr>
          <w:sz w:val="16"/>
          <w:szCs w:val="16"/>
        </w:rPr>
        <w:t>, Considerando. 9</w:t>
      </w:r>
      <w:r w:rsidR="007E1982">
        <w:rPr>
          <w:sz w:val="16"/>
          <w:szCs w:val="16"/>
        </w:rPr>
        <w:t xml:space="preserve">, y </w:t>
      </w:r>
      <w:r w:rsidR="007E1982" w:rsidRPr="00B75A2A">
        <w:rPr>
          <w:i/>
          <w:iCs/>
          <w:sz w:val="16"/>
          <w:szCs w:val="16"/>
        </w:rPr>
        <w:t>Caso 19 Comerciantes Vs. Colombia. Ampliación de Medidas Provisionales</w:t>
      </w:r>
      <w:r w:rsidR="007E1982">
        <w:rPr>
          <w:sz w:val="16"/>
          <w:szCs w:val="16"/>
        </w:rPr>
        <w:t xml:space="preserve">. </w:t>
      </w:r>
      <w:r w:rsidR="007E1982" w:rsidRPr="006D267B">
        <w:rPr>
          <w:iCs/>
          <w:sz w:val="16"/>
          <w:szCs w:val="16"/>
        </w:rPr>
        <w:t xml:space="preserve">Resolución de la </w:t>
      </w:r>
      <w:proofErr w:type="gramStart"/>
      <w:r w:rsidR="007E1982">
        <w:rPr>
          <w:iCs/>
          <w:sz w:val="16"/>
          <w:szCs w:val="16"/>
        </w:rPr>
        <w:t>Presidenta</w:t>
      </w:r>
      <w:proofErr w:type="gramEnd"/>
      <w:r w:rsidR="007E1982">
        <w:rPr>
          <w:iCs/>
          <w:sz w:val="16"/>
          <w:szCs w:val="16"/>
        </w:rPr>
        <w:t xml:space="preserve"> de la </w:t>
      </w:r>
      <w:r w:rsidR="007E1982" w:rsidRPr="006D267B">
        <w:rPr>
          <w:iCs/>
          <w:sz w:val="16"/>
          <w:szCs w:val="16"/>
        </w:rPr>
        <w:t>Corte Interam</w:t>
      </w:r>
      <w:r w:rsidR="007E1982">
        <w:rPr>
          <w:iCs/>
          <w:sz w:val="16"/>
          <w:szCs w:val="16"/>
        </w:rPr>
        <w:t>ericana de Derechos Humanos de 2 de abril de 2020</w:t>
      </w:r>
      <w:r w:rsidR="007E1982" w:rsidRPr="006D267B">
        <w:rPr>
          <w:sz w:val="16"/>
          <w:szCs w:val="16"/>
        </w:rPr>
        <w:t xml:space="preserve">, </w:t>
      </w:r>
      <w:r w:rsidR="007E1982" w:rsidRPr="00B75A2A">
        <w:rPr>
          <w:sz w:val="16"/>
          <w:szCs w:val="16"/>
        </w:rPr>
        <w:t>Considerando</w:t>
      </w:r>
      <w:r w:rsidR="007E1982">
        <w:rPr>
          <w:sz w:val="16"/>
          <w:szCs w:val="16"/>
        </w:rPr>
        <w:t xml:space="preserve"> 28</w:t>
      </w:r>
      <w:r w:rsidRPr="006D267B">
        <w:rPr>
          <w:sz w:val="16"/>
          <w:szCs w:val="16"/>
        </w:rPr>
        <w:t>.</w:t>
      </w:r>
    </w:p>
  </w:footnote>
  <w:footnote w:id="6">
    <w:p w14:paraId="2547EBFD" w14:textId="7F7DD871" w:rsidR="00FC2FA3" w:rsidRPr="00B61DBA" w:rsidRDefault="00FC2FA3" w:rsidP="006D267B">
      <w:pPr>
        <w:pStyle w:val="Textonotapie"/>
        <w:spacing w:before="120" w:after="120"/>
        <w:rPr>
          <w:sz w:val="16"/>
          <w:szCs w:val="16"/>
        </w:rPr>
      </w:pPr>
      <w:r w:rsidRPr="00B61DBA">
        <w:rPr>
          <w:rStyle w:val="Refdenotaalpie"/>
          <w:sz w:val="16"/>
          <w:szCs w:val="16"/>
        </w:rPr>
        <w:footnoteRef/>
      </w:r>
      <w:r w:rsidRPr="00B61DBA">
        <w:rPr>
          <w:sz w:val="16"/>
          <w:szCs w:val="16"/>
        </w:rPr>
        <w:t xml:space="preserve"> </w:t>
      </w:r>
      <w:r w:rsidRPr="00B61DBA">
        <w:rPr>
          <w:sz w:val="16"/>
          <w:szCs w:val="16"/>
        </w:rPr>
        <w:tab/>
      </w:r>
      <w:r w:rsidR="007E1982" w:rsidRPr="00A8301D">
        <w:rPr>
          <w:i/>
          <w:iCs/>
          <w:sz w:val="16"/>
          <w:szCs w:val="16"/>
        </w:rPr>
        <w:t xml:space="preserve">Caso de los Hermanos Gómez </w:t>
      </w:r>
      <w:proofErr w:type="spellStart"/>
      <w:r w:rsidR="007E1982" w:rsidRPr="00A8301D">
        <w:rPr>
          <w:i/>
          <w:iCs/>
          <w:sz w:val="16"/>
          <w:szCs w:val="16"/>
        </w:rPr>
        <w:t>Paquiyauri</w:t>
      </w:r>
      <w:proofErr w:type="spellEnd"/>
      <w:r w:rsidR="007E1982" w:rsidRPr="00A8301D">
        <w:rPr>
          <w:i/>
          <w:iCs/>
          <w:sz w:val="16"/>
          <w:szCs w:val="16"/>
        </w:rPr>
        <w:t xml:space="preserve"> respecto Perú. Medidas Provisionales. </w:t>
      </w:r>
      <w:r w:rsidR="007E1982" w:rsidRPr="00A8301D">
        <w:rPr>
          <w:iCs/>
          <w:sz w:val="16"/>
          <w:szCs w:val="16"/>
        </w:rPr>
        <w:t>Resolución de la Corte Interamericana de Derechos Humanos de 7 de mayo de 2004</w:t>
      </w:r>
      <w:r w:rsidR="007E1982" w:rsidRPr="00A8301D">
        <w:rPr>
          <w:sz w:val="16"/>
          <w:szCs w:val="16"/>
        </w:rPr>
        <w:t>,</w:t>
      </w:r>
      <w:r w:rsidR="007E1982" w:rsidRPr="00B61DBA">
        <w:rPr>
          <w:sz w:val="16"/>
          <w:szCs w:val="16"/>
        </w:rPr>
        <w:t xml:space="preserve"> </w:t>
      </w:r>
      <w:r w:rsidR="007E1982">
        <w:rPr>
          <w:sz w:val="16"/>
          <w:szCs w:val="16"/>
        </w:rPr>
        <w:t>Considerando</w:t>
      </w:r>
      <w:r w:rsidR="007E1982" w:rsidRPr="00B61DBA">
        <w:rPr>
          <w:sz w:val="16"/>
          <w:szCs w:val="16"/>
        </w:rPr>
        <w:t xml:space="preserve">. </w:t>
      </w:r>
      <w:r w:rsidR="007E1982">
        <w:rPr>
          <w:sz w:val="16"/>
          <w:szCs w:val="16"/>
        </w:rPr>
        <w:t xml:space="preserve">6, y </w:t>
      </w:r>
      <w:r w:rsidR="007E1982" w:rsidRPr="00B97D29">
        <w:rPr>
          <w:i/>
          <w:sz w:val="16"/>
          <w:szCs w:val="16"/>
        </w:rPr>
        <w:t xml:space="preserve">Caso </w:t>
      </w:r>
      <w:proofErr w:type="spellStart"/>
      <w:r w:rsidR="007E1982">
        <w:rPr>
          <w:i/>
          <w:sz w:val="16"/>
          <w:szCs w:val="16"/>
        </w:rPr>
        <w:t>Coc</w:t>
      </w:r>
      <w:proofErr w:type="spellEnd"/>
      <w:r w:rsidR="007E1982">
        <w:rPr>
          <w:i/>
          <w:sz w:val="16"/>
          <w:szCs w:val="16"/>
        </w:rPr>
        <w:t xml:space="preserve"> Max y otros Vs. Guatemala</w:t>
      </w:r>
      <w:r w:rsidR="007E1982" w:rsidRPr="00B97D29">
        <w:rPr>
          <w:i/>
          <w:sz w:val="16"/>
          <w:szCs w:val="16"/>
        </w:rPr>
        <w:t xml:space="preserve">. </w:t>
      </w:r>
      <w:r w:rsidR="007E1982">
        <w:rPr>
          <w:i/>
          <w:sz w:val="16"/>
          <w:szCs w:val="16"/>
        </w:rPr>
        <w:t xml:space="preserve">Adopción de </w:t>
      </w:r>
      <w:r w:rsidR="007E1982" w:rsidRPr="00B97D29">
        <w:rPr>
          <w:i/>
          <w:sz w:val="16"/>
          <w:szCs w:val="16"/>
        </w:rPr>
        <w:t>Medidas Provisionales</w:t>
      </w:r>
      <w:r w:rsidR="007E1982" w:rsidRPr="00B97D29">
        <w:rPr>
          <w:sz w:val="16"/>
          <w:szCs w:val="16"/>
        </w:rPr>
        <w:t xml:space="preserve">. Resolución de la Corte Interamericana de Derechos </w:t>
      </w:r>
      <w:r w:rsidR="007E1982">
        <w:rPr>
          <w:sz w:val="16"/>
          <w:szCs w:val="16"/>
        </w:rPr>
        <w:t>Humanos de 8 de febrero de 2018, Considerando 15</w:t>
      </w:r>
      <w:r w:rsidR="00B97D29">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BFF"/>
    <w:multiLevelType w:val="hybridMultilevel"/>
    <w:tmpl w:val="B67EA59E"/>
    <w:lvl w:ilvl="0" w:tplc="42E26D32">
      <w:start w:val="1"/>
      <w:numFmt w:val="upperLetter"/>
      <w:lvlText w:val="%1."/>
      <w:lvlJc w:val="left"/>
      <w:pPr>
        <w:ind w:left="720" w:hanging="360"/>
      </w:pPr>
      <w:rPr>
        <w:b w:val="0"/>
      </w:rPr>
    </w:lvl>
    <w:lvl w:ilvl="1" w:tplc="1160E910">
      <w:start w:val="1"/>
      <w:numFmt w:val="decimal"/>
      <w:lvlText w:val="%2)"/>
      <w:lvlJc w:val="left"/>
      <w:pPr>
        <w:ind w:left="1440" w:hanging="360"/>
      </w:pPr>
      <w:rPr>
        <w:rFonts w:ascii="Verdana" w:eastAsia="Batang" w:hAnsi="Verdana" w:cs="Calibri"/>
        <w:b w:val="0"/>
        <w:bCs w:val="0"/>
        <w:i w:val="0"/>
        <w:iCs w:val="0"/>
      </w:rPr>
    </w:lvl>
    <w:lvl w:ilvl="2" w:tplc="0409001B">
      <w:start w:val="1"/>
      <w:numFmt w:val="lowerRoman"/>
      <w:lvlText w:val="%3."/>
      <w:lvlJc w:val="right"/>
      <w:pPr>
        <w:ind w:left="2160" w:hanging="180"/>
      </w:pPr>
    </w:lvl>
    <w:lvl w:ilvl="3" w:tplc="50005FF6">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C83564"/>
    <w:multiLevelType w:val="hybridMultilevel"/>
    <w:tmpl w:val="94BECD7E"/>
    <w:lvl w:ilvl="0" w:tplc="FD72A19E">
      <w:start w:val="1"/>
      <w:numFmt w:val="decimal"/>
      <w:lvlText w:val="%1)"/>
      <w:lvlJc w:val="left"/>
      <w:pPr>
        <w:ind w:left="1353" w:hanging="360"/>
      </w:pPr>
      <w:rPr>
        <w:b w:val="0"/>
        <w:bCs/>
        <w:i w:val="0"/>
        <w:i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1A334249"/>
    <w:multiLevelType w:val="hybridMultilevel"/>
    <w:tmpl w:val="D8EA1E52"/>
    <w:lvl w:ilvl="0" w:tplc="140A000F">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994672"/>
    <w:multiLevelType w:val="hybridMultilevel"/>
    <w:tmpl w:val="9AAE9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A35A5A"/>
    <w:multiLevelType w:val="hybridMultilevel"/>
    <w:tmpl w:val="70BA0408"/>
    <w:lvl w:ilvl="0" w:tplc="C0CCC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079C9"/>
    <w:multiLevelType w:val="hybridMultilevel"/>
    <w:tmpl w:val="D63C7810"/>
    <w:lvl w:ilvl="0" w:tplc="C0CCC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55AF"/>
    <w:multiLevelType w:val="hybridMultilevel"/>
    <w:tmpl w:val="EB3E47F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5A26AB"/>
    <w:multiLevelType w:val="hybridMultilevel"/>
    <w:tmpl w:val="249CD098"/>
    <w:lvl w:ilvl="0" w:tplc="04090015">
      <w:start w:val="1"/>
      <w:numFmt w:val="upperLetter"/>
      <w:lvlText w:val="%1."/>
      <w:lvlJc w:val="left"/>
      <w:pPr>
        <w:ind w:left="720" w:hanging="360"/>
      </w:pPr>
    </w:lvl>
    <w:lvl w:ilvl="1" w:tplc="FD72A19E">
      <w:start w:val="1"/>
      <w:numFmt w:val="decimal"/>
      <w:lvlText w:val="%2)"/>
      <w:lvlJc w:val="left"/>
      <w:pPr>
        <w:ind w:left="1353"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A826F0"/>
    <w:multiLevelType w:val="hybridMultilevel"/>
    <w:tmpl w:val="D63C7810"/>
    <w:lvl w:ilvl="0" w:tplc="C0CCC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E317C"/>
    <w:multiLevelType w:val="hybridMultilevel"/>
    <w:tmpl w:val="D63C7810"/>
    <w:lvl w:ilvl="0" w:tplc="C0CCC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C57B8"/>
    <w:multiLevelType w:val="hybridMultilevel"/>
    <w:tmpl w:val="B69064D8"/>
    <w:lvl w:ilvl="0" w:tplc="9A22BA8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0600B2"/>
    <w:multiLevelType w:val="hybridMultilevel"/>
    <w:tmpl w:val="94BECD7E"/>
    <w:lvl w:ilvl="0" w:tplc="FD72A19E">
      <w:start w:val="1"/>
      <w:numFmt w:val="decimal"/>
      <w:lvlText w:val="%1)"/>
      <w:lvlJc w:val="left"/>
      <w:pPr>
        <w:ind w:left="1419" w:hanging="360"/>
      </w:pPr>
      <w:rPr>
        <w:b w:val="0"/>
        <w:bCs/>
        <w:i w:val="0"/>
        <w:iCs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2" w15:restartNumberingAfterBreak="0">
    <w:nsid w:val="504C2D60"/>
    <w:multiLevelType w:val="hybridMultilevel"/>
    <w:tmpl w:val="EC121E62"/>
    <w:lvl w:ilvl="0" w:tplc="1160E910">
      <w:start w:val="1"/>
      <w:numFmt w:val="decimal"/>
      <w:lvlText w:val="%1)"/>
      <w:lvlJc w:val="left"/>
      <w:pPr>
        <w:ind w:left="1440" w:hanging="360"/>
      </w:pPr>
      <w:rPr>
        <w:rFonts w:ascii="Verdana" w:eastAsia="Batang" w:hAnsi="Verdana" w:cs="Calibri"/>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C5649"/>
    <w:multiLevelType w:val="hybridMultilevel"/>
    <w:tmpl w:val="E4CAAA4A"/>
    <w:lvl w:ilvl="0" w:tplc="42E26D32">
      <w:start w:val="1"/>
      <w:numFmt w:val="upperLetter"/>
      <w:lvlText w:val="%1."/>
      <w:lvlJc w:val="left"/>
      <w:pPr>
        <w:ind w:left="720" w:hanging="360"/>
      </w:pPr>
      <w:rPr>
        <w:b w:val="0"/>
      </w:rPr>
    </w:lvl>
    <w:lvl w:ilvl="1" w:tplc="D85A9EA4">
      <w:start w:val="1"/>
      <w:numFmt w:val="decimal"/>
      <w:lvlText w:val="%2)"/>
      <w:lvlJc w:val="left"/>
      <w:pPr>
        <w:ind w:left="1440" w:hanging="360"/>
      </w:pPr>
      <w:rPr>
        <w:rFonts w:ascii="Verdana" w:eastAsia="Batang" w:hAnsi="Verdana" w:cs="Calibri"/>
        <w:b w:val="0"/>
        <w:bCs w:val="0"/>
        <w:i w:val="0"/>
        <w:iCs w:val="0"/>
      </w:rPr>
    </w:lvl>
    <w:lvl w:ilvl="2" w:tplc="0409001B">
      <w:start w:val="1"/>
      <w:numFmt w:val="lowerRoman"/>
      <w:lvlText w:val="%3."/>
      <w:lvlJc w:val="right"/>
      <w:pPr>
        <w:ind w:left="2160" w:hanging="180"/>
      </w:pPr>
    </w:lvl>
    <w:lvl w:ilvl="3" w:tplc="50005FF6">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3648A2"/>
    <w:multiLevelType w:val="hybridMultilevel"/>
    <w:tmpl w:val="5B9AB246"/>
    <w:lvl w:ilvl="0" w:tplc="877E7EB8">
      <w:start w:val="2"/>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E97B02"/>
    <w:multiLevelType w:val="hybridMultilevel"/>
    <w:tmpl w:val="BCB63CD4"/>
    <w:lvl w:ilvl="0" w:tplc="43B4B16C">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3"/>
  </w:num>
  <w:num w:numId="10">
    <w:abstractNumId w:val="14"/>
  </w:num>
  <w:num w:numId="11">
    <w:abstractNumId w:val="6"/>
  </w:num>
  <w:num w:numId="12">
    <w:abstractNumId w:val="9"/>
  </w:num>
  <w:num w:numId="13">
    <w:abstractNumId w:val="4"/>
  </w:num>
  <w:num w:numId="14">
    <w:abstractNumId w:val="7"/>
  </w:num>
  <w:num w:numId="15">
    <w:abstractNumId w:val="8"/>
  </w:num>
  <w:num w:numId="16">
    <w:abstractNumId w:val="12"/>
  </w:num>
  <w:num w:numId="17">
    <w:abstractNumId w:val="5"/>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20"/>
    <w:rsid w:val="0000094B"/>
    <w:rsid w:val="000321E6"/>
    <w:rsid w:val="0003477E"/>
    <w:rsid w:val="0005396A"/>
    <w:rsid w:val="00055D56"/>
    <w:rsid w:val="00064623"/>
    <w:rsid w:val="00074EC7"/>
    <w:rsid w:val="00081DC3"/>
    <w:rsid w:val="0008568F"/>
    <w:rsid w:val="000B1F00"/>
    <w:rsid w:val="000B3342"/>
    <w:rsid w:val="000D4E09"/>
    <w:rsid w:val="00132391"/>
    <w:rsid w:val="00151D39"/>
    <w:rsid w:val="00152375"/>
    <w:rsid w:val="00154F9D"/>
    <w:rsid w:val="0017325C"/>
    <w:rsid w:val="0017553D"/>
    <w:rsid w:val="001C35F8"/>
    <w:rsid w:val="001E7CA8"/>
    <w:rsid w:val="002013D4"/>
    <w:rsid w:val="00206BEB"/>
    <w:rsid w:val="00211A5B"/>
    <w:rsid w:val="00221B30"/>
    <w:rsid w:val="00255DE8"/>
    <w:rsid w:val="00257F55"/>
    <w:rsid w:val="0026030E"/>
    <w:rsid w:val="00265A0A"/>
    <w:rsid w:val="00270612"/>
    <w:rsid w:val="0028042B"/>
    <w:rsid w:val="002843C6"/>
    <w:rsid w:val="00290A20"/>
    <w:rsid w:val="002A46C1"/>
    <w:rsid w:val="002B27AF"/>
    <w:rsid w:val="002C3EF5"/>
    <w:rsid w:val="00315670"/>
    <w:rsid w:val="00332A2B"/>
    <w:rsid w:val="00335A92"/>
    <w:rsid w:val="0034085D"/>
    <w:rsid w:val="00340862"/>
    <w:rsid w:val="00345E08"/>
    <w:rsid w:val="00364868"/>
    <w:rsid w:val="00371461"/>
    <w:rsid w:val="0038340E"/>
    <w:rsid w:val="003874CB"/>
    <w:rsid w:val="003B0026"/>
    <w:rsid w:val="003B4E8C"/>
    <w:rsid w:val="003E5616"/>
    <w:rsid w:val="003F39E2"/>
    <w:rsid w:val="003F6458"/>
    <w:rsid w:val="00441519"/>
    <w:rsid w:val="00442818"/>
    <w:rsid w:val="004455DA"/>
    <w:rsid w:val="00453B2B"/>
    <w:rsid w:val="00457588"/>
    <w:rsid w:val="004A0553"/>
    <w:rsid w:val="004C3DB3"/>
    <w:rsid w:val="004E06AA"/>
    <w:rsid w:val="004E12FB"/>
    <w:rsid w:val="004E284C"/>
    <w:rsid w:val="00517382"/>
    <w:rsid w:val="00532438"/>
    <w:rsid w:val="00534E68"/>
    <w:rsid w:val="00557E01"/>
    <w:rsid w:val="00560097"/>
    <w:rsid w:val="005611DD"/>
    <w:rsid w:val="005709DE"/>
    <w:rsid w:val="00573975"/>
    <w:rsid w:val="00577D6D"/>
    <w:rsid w:val="0059118A"/>
    <w:rsid w:val="00593A2F"/>
    <w:rsid w:val="005A0BE7"/>
    <w:rsid w:val="005A2461"/>
    <w:rsid w:val="005B32AE"/>
    <w:rsid w:val="005D5E06"/>
    <w:rsid w:val="005F6498"/>
    <w:rsid w:val="00634275"/>
    <w:rsid w:val="00662698"/>
    <w:rsid w:val="00666A7D"/>
    <w:rsid w:val="006A626D"/>
    <w:rsid w:val="006D267B"/>
    <w:rsid w:val="006F5063"/>
    <w:rsid w:val="00701066"/>
    <w:rsid w:val="0072353F"/>
    <w:rsid w:val="007550C6"/>
    <w:rsid w:val="00763873"/>
    <w:rsid w:val="007C0587"/>
    <w:rsid w:val="007C0EF1"/>
    <w:rsid w:val="007C69B9"/>
    <w:rsid w:val="007C7361"/>
    <w:rsid w:val="007E1982"/>
    <w:rsid w:val="007F4AC8"/>
    <w:rsid w:val="00807987"/>
    <w:rsid w:val="00870EE2"/>
    <w:rsid w:val="008C3983"/>
    <w:rsid w:val="009318A0"/>
    <w:rsid w:val="009332D9"/>
    <w:rsid w:val="00952E2D"/>
    <w:rsid w:val="00957B97"/>
    <w:rsid w:val="009821F7"/>
    <w:rsid w:val="00993188"/>
    <w:rsid w:val="00A07E59"/>
    <w:rsid w:val="00A10AB8"/>
    <w:rsid w:val="00A253D8"/>
    <w:rsid w:val="00A323A9"/>
    <w:rsid w:val="00A353B7"/>
    <w:rsid w:val="00A45F7F"/>
    <w:rsid w:val="00A45FEB"/>
    <w:rsid w:val="00A5647B"/>
    <w:rsid w:val="00A70389"/>
    <w:rsid w:val="00A7729B"/>
    <w:rsid w:val="00A8301D"/>
    <w:rsid w:val="00AC7A9A"/>
    <w:rsid w:val="00B44870"/>
    <w:rsid w:val="00B56103"/>
    <w:rsid w:val="00B61DBA"/>
    <w:rsid w:val="00B75A2A"/>
    <w:rsid w:val="00B97D29"/>
    <w:rsid w:val="00BA218B"/>
    <w:rsid w:val="00BA43DC"/>
    <w:rsid w:val="00BB5CC9"/>
    <w:rsid w:val="00BF03F3"/>
    <w:rsid w:val="00BF198D"/>
    <w:rsid w:val="00BF2E04"/>
    <w:rsid w:val="00BF63B8"/>
    <w:rsid w:val="00BF6F1F"/>
    <w:rsid w:val="00BF72D6"/>
    <w:rsid w:val="00C442D8"/>
    <w:rsid w:val="00C4550A"/>
    <w:rsid w:val="00C817D7"/>
    <w:rsid w:val="00C852D1"/>
    <w:rsid w:val="00CA7DB5"/>
    <w:rsid w:val="00CB0A8E"/>
    <w:rsid w:val="00CB6D66"/>
    <w:rsid w:val="00CC7612"/>
    <w:rsid w:val="00CD3564"/>
    <w:rsid w:val="00D07BE7"/>
    <w:rsid w:val="00D70C65"/>
    <w:rsid w:val="00D92E07"/>
    <w:rsid w:val="00D93C37"/>
    <w:rsid w:val="00D95EC6"/>
    <w:rsid w:val="00DA19C2"/>
    <w:rsid w:val="00E020F6"/>
    <w:rsid w:val="00E37F21"/>
    <w:rsid w:val="00E4781E"/>
    <w:rsid w:val="00E87F69"/>
    <w:rsid w:val="00EA6EF5"/>
    <w:rsid w:val="00EB5DB0"/>
    <w:rsid w:val="00ED50DF"/>
    <w:rsid w:val="00EE42CC"/>
    <w:rsid w:val="00F00EE7"/>
    <w:rsid w:val="00F071B2"/>
    <w:rsid w:val="00F22633"/>
    <w:rsid w:val="00F34EFF"/>
    <w:rsid w:val="00F438FB"/>
    <w:rsid w:val="00F52876"/>
    <w:rsid w:val="00F550A4"/>
    <w:rsid w:val="00F75ADE"/>
    <w:rsid w:val="00F76CE1"/>
    <w:rsid w:val="00FC2FA3"/>
    <w:rsid w:val="00FD1EDA"/>
    <w:rsid w:val="00FE12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38A9E"/>
  <w15:docId w15:val="{69B1D997-24C9-41DC-B94B-9AF5C552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20"/>
    <w:pPr>
      <w:spacing w:after="120" w:line="240" w:lineRule="auto"/>
      <w:jc w:val="both"/>
    </w:pPr>
    <w:rPr>
      <w:rFonts w:ascii="Verdana" w:eastAsia="Calibri" w:hAnsi="Verdana" w:cs="Times"/>
      <w:sz w:val="20"/>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2,Lista vistosa - Énfasis 11,List Paragraph1,Colorful List - Accent 11,Párrafo de lista1"/>
    <w:basedOn w:val="Normal"/>
    <w:link w:val="PrrafodelistaCar"/>
    <w:uiPriority w:val="34"/>
    <w:qFormat/>
    <w:rsid w:val="005A2461"/>
    <w:pPr>
      <w:ind w:left="720"/>
      <w:contextualSpacing/>
    </w:p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basedOn w:val="Fuentedeprrafopredeter"/>
    <w:link w:val="4GChar"/>
    <w:unhideWhenUsed/>
    <w:qFormat/>
    <w:rsid w:val="005A2461"/>
    <w:rPr>
      <w:vertAlign w:val="superscript"/>
    </w:rPr>
  </w:style>
  <w:style w:type="character" w:styleId="Refdecomentario">
    <w:name w:val="annotation reference"/>
    <w:basedOn w:val="Fuentedeprrafopredeter"/>
    <w:uiPriority w:val="99"/>
    <w:semiHidden/>
    <w:unhideWhenUsed/>
    <w:rsid w:val="00265A0A"/>
    <w:rPr>
      <w:sz w:val="16"/>
      <w:szCs w:val="16"/>
    </w:rPr>
  </w:style>
  <w:style w:type="paragraph" w:styleId="Textocomentario">
    <w:name w:val="annotation text"/>
    <w:basedOn w:val="Normal"/>
    <w:link w:val="TextocomentarioCar"/>
    <w:uiPriority w:val="99"/>
    <w:semiHidden/>
    <w:unhideWhenUsed/>
    <w:rsid w:val="00265A0A"/>
    <w:rPr>
      <w:szCs w:val="20"/>
    </w:rPr>
  </w:style>
  <w:style w:type="character" w:customStyle="1" w:styleId="TextocomentarioCar">
    <w:name w:val="Texto comentario Car"/>
    <w:basedOn w:val="Fuentedeprrafopredeter"/>
    <w:link w:val="Textocomentario"/>
    <w:uiPriority w:val="99"/>
    <w:semiHidden/>
    <w:rsid w:val="00265A0A"/>
    <w:rPr>
      <w:rFonts w:ascii="Verdana" w:eastAsia="Calibri" w:hAnsi="Verdana" w:cs="Time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65A0A"/>
    <w:rPr>
      <w:b/>
      <w:bCs/>
    </w:rPr>
  </w:style>
  <w:style w:type="character" w:customStyle="1" w:styleId="AsuntodelcomentarioCar">
    <w:name w:val="Asunto del comentario Car"/>
    <w:basedOn w:val="TextocomentarioCar"/>
    <w:link w:val="Asuntodelcomentario"/>
    <w:uiPriority w:val="99"/>
    <w:semiHidden/>
    <w:rsid w:val="00265A0A"/>
    <w:rPr>
      <w:rFonts w:ascii="Verdana" w:eastAsia="Calibri" w:hAnsi="Verdana" w:cs="Times"/>
      <w:b/>
      <w:bCs/>
      <w:sz w:val="20"/>
      <w:szCs w:val="20"/>
      <w:lang w:val="es-ES_tradnl" w:eastAsia="es-ES"/>
    </w:rPr>
  </w:style>
  <w:style w:type="paragraph" w:styleId="Textodeglobo">
    <w:name w:val="Balloon Text"/>
    <w:basedOn w:val="Normal"/>
    <w:link w:val="TextodegloboCar"/>
    <w:uiPriority w:val="99"/>
    <w:semiHidden/>
    <w:unhideWhenUsed/>
    <w:rsid w:val="00265A0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5A0A"/>
    <w:rPr>
      <w:rFonts w:ascii="Segoe UI" w:eastAsia="Calibri" w:hAnsi="Segoe UI" w:cs="Segoe UI"/>
      <w:sz w:val="18"/>
      <w:szCs w:val="18"/>
      <w:lang w:val="es-ES_tradnl" w:eastAsia="es-ES"/>
    </w:rPr>
  </w:style>
  <w:style w:type="character" w:customStyle="1" w:styleId="PrrafodelistaCar">
    <w:name w:val="Párrafo de lista Car"/>
    <w:aliases w:val="Footnote Car,List Paragraph2 Car,Lista vistosa - Énfasis 11 Car,List Paragraph1 Car,Colorful List - Accent 11 Car,Párrafo de lista1 Car"/>
    <w:link w:val="Prrafodelista"/>
    <w:uiPriority w:val="34"/>
    <w:locked/>
    <w:rsid w:val="00E87F69"/>
    <w:rPr>
      <w:rFonts w:ascii="Verdana" w:eastAsia="Calibri" w:hAnsi="Verdana" w:cs="Times"/>
      <w:sz w:val="20"/>
      <w:szCs w:val="24"/>
      <w:lang w:val="es-ES_tradnl" w:eastAsia="es-ES"/>
    </w:rPr>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footnote text,C,ft"/>
    <w:basedOn w:val="Normal"/>
    <w:link w:val="TextonotapieCar"/>
    <w:unhideWhenUsed/>
    <w:qFormat/>
    <w:rsid w:val="00A323A9"/>
    <w:pPr>
      <w:spacing w:after="0"/>
    </w:pPr>
    <w:rPr>
      <w:szCs w:val="20"/>
    </w:rPr>
  </w:style>
  <w:style w:type="character" w:customStyle="1" w:styleId="TextonotapieCar">
    <w:name w:val="Texto nota pie Car"/>
    <w:aliases w:val="FA Fu Car2,Footnote Text Char Char Char Char Char Car1,Footnote Text Char Char Char Char Car1,Footnote reference Car1,Footnote Text Char Char Char Car1,FA Fu Car Car2,FA Fu Car Car Car1,Footnote Text Cha Car1,FA Fußnotentext Car1"/>
    <w:basedOn w:val="Fuentedeprrafopredeter"/>
    <w:link w:val="Textonotapie"/>
    <w:qFormat/>
    <w:rsid w:val="00A323A9"/>
    <w:rPr>
      <w:rFonts w:ascii="Verdana" w:eastAsia="Calibri" w:hAnsi="Verdana" w:cs="Times"/>
      <w:sz w:val="20"/>
      <w:szCs w:val="20"/>
      <w:lang w:val="es-ES_tradnl" w:eastAsia="es-ES"/>
    </w:rPr>
  </w:style>
  <w:style w:type="paragraph" w:styleId="Textoindependiente">
    <w:name w:val="Body Text"/>
    <w:basedOn w:val="Normal"/>
    <w:link w:val="TextoindependienteCar"/>
    <w:rsid w:val="0038340E"/>
    <w:pPr>
      <w:jc w:val="left"/>
    </w:pPr>
    <w:rPr>
      <w:rFonts w:eastAsia="Times New Roman" w:cs="Times New Roman"/>
      <w:szCs w:val="20"/>
      <w:lang w:eastAsia="en-US"/>
    </w:rPr>
  </w:style>
  <w:style w:type="character" w:customStyle="1" w:styleId="TextoindependienteCar">
    <w:name w:val="Texto independiente Car"/>
    <w:basedOn w:val="Fuentedeprrafopredeter"/>
    <w:link w:val="Textoindependiente"/>
    <w:rsid w:val="0038340E"/>
    <w:rPr>
      <w:rFonts w:ascii="Verdana" w:eastAsia="Times New Roman" w:hAnsi="Verdana" w:cs="Times New Roman"/>
      <w:sz w:val="20"/>
      <w:szCs w:val="20"/>
      <w:lang w:val="es-ES_tradnl"/>
    </w:rPr>
  </w:style>
  <w:style w:type="character" w:customStyle="1" w:styleId="TextonotapieCar1">
    <w:name w:val="Texto nota pie Car1"/>
    <w:aliases w:val="FA Fu Car1,Footnote Text Char Char Char Char Char Car,Footnote Text Char Char Char Char Car,Footnote reference Car,Footnote Text Char Char Char Car,FA Fu Car Car1,FA Fu Car Car Car,Footnote Text Cha Car,FA Fußnotentext Car,Ca Car"/>
    <w:semiHidden/>
    <w:locked/>
    <w:rsid w:val="004A0553"/>
    <w:rPr>
      <w:rFonts w:ascii="Verdana" w:hAnsi="Verdana"/>
      <w:sz w:val="16"/>
      <w:szCs w:val="16"/>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0553"/>
    <w:pPr>
      <w:spacing w:after="0"/>
    </w:pPr>
    <w:rPr>
      <w:rFonts w:asciiTheme="minorHAnsi" w:eastAsiaTheme="minorHAnsi" w:hAnsiTheme="minorHAnsi" w:cstheme="minorBidi"/>
      <w:sz w:val="22"/>
      <w:szCs w:val="22"/>
      <w:vertAlign w:val="superscript"/>
      <w:lang w:val="en-US" w:eastAsia="en-US"/>
    </w:rPr>
  </w:style>
  <w:style w:type="character" w:styleId="Textoennegrita">
    <w:name w:val="Strong"/>
    <w:basedOn w:val="Fuentedeprrafopredeter"/>
    <w:uiPriority w:val="22"/>
    <w:qFormat/>
    <w:rsid w:val="004A0553"/>
    <w:rPr>
      <w:b/>
      <w:bCs/>
    </w:rPr>
  </w:style>
  <w:style w:type="paragraph" w:styleId="Revisin">
    <w:name w:val="Revision"/>
    <w:hidden/>
    <w:uiPriority w:val="99"/>
    <w:semiHidden/>
    <w:rsid w:val="00BA218B"/>
    <w:pPr>
      <w:spacing w:after="0" w:line="240" w:lineRule="auto"/>
    </w:pPr>
    <w:rPr>
      <w:rFonts w:ascii="Verdana" w:eastAsia="Calibri" w:hAnsi="Verdana" w:cs="Times"/>
      <w:sz w:val="20"/>
      <w:szCs w:val="24"/>
      <w:lang w:val="es-ES_tradnl" w:eastAsia="es-ES"/>
    </w:rPr>
  </w:style>
  <w:style w:type="paragraph" w:styleId="Encabezado">
    <w:name w:val="header"/>
    <w:basedOn w:val="Normal"/>
    <w:link w:val="EncabezadoCar"/>
    <w:uiPriority w:val="99"/>
    <w:unhideWhenUsed/>
    <w:rsid w:val="007E1982"/>
    <w:pPr>
      <w:tabs>
        <w:tab w:val="center" w:pos="4252"/>
        <w:tab w:val="right" w:pos="8504"/>
      </w:tabs>
      <w:spacing w:after="0"/>
    </w:pPr>
  </w:style>
  <w:style w:type="character" w:customStyle="1" w:styleId="EncabezadoCar">
    <w:name w:val="Encabezado Car"/>
    <w:basedOn w:val="Fuentedeprrafopredeter"/>
    <w:link w:val="Encabezado"/>
    <w:uiPriority w:val="99"/>
    <w:rsid w:val="007E1982"/>
    <w:rPr>
      <w:rFonts w:ascii="Verdana" w:eastAsia="Calibri" w:hAnsi="Verdana" w:cs="Times"/>
      <w:sz w:val="20"/>
      <w:szCs w:val="24"/>
      <w:lang w:val="es-ES_tradnl" w:eastAsia="es-ES"/>
    </w:rPr>
  </w:style>
  <w:style w:type="paragraph" w:styleId="Piedepgina">
    <w:name w:val="footer"/>
    <w:basedOn w:val="Normal"/>
    <w:link w:val="PiedepginaCar"/>
    <w:uiPriority w:val="99"/>
    <w:unhideWhenUsed/>
    <w:rsid w:val="007E1982"/>
    <w:pPr>
      <w:tabs>
        <w:tab w:val="center" w:pos="4252"/>
        <w:tab w:val="right" w:pos="8504"/>
      </w:tabs>
      <w:spacing w:after="0"/>
    </w:pPr>
  </w:style>
  <w:style w:type="character" w:customStyle="1" w:styleId="PiedepginaCar">
    <w:name w:val="Pie de página Car"/>
    <w:basedOn w:val="Fuentedeprrafopredeter"/>
    <w:link w:val="Piedepgina"/>
    <w:uiPriority w:val="99"/>
    <w:rsid w:val="007E1982"/>
    <w:rPr>
      <w:rFonts w:ascii="Verdana" w:eastAsia="Calibri" w:hAnsi="Verdana" w:cs="Times"/>
      <w:sz w:val="2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94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AE43-0E13-4C91-9526-CE95F142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1891</Words>
  <Characters>10404</Characters>
  <Application>Microsoft Office Word</Application>
  <DocSecurity>4</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Ana Rita Ramirez</cp:lastModifiedBy>
  <cp:revision>2</cp:revision>
  <cp:lastPrinted>2020-11-12T20:32:00Z</cp:lastPrinted>
  <dcterms:created xsi:type="dcterms:W3CDTF">2020-11-12T20:49:00Z</dcterms:created>
  <dcterms:modified xsi:type="dcterms:W3CDTF">2020-11-12T20:49:00Z</dcterms:modified>
</cp:coreProperties>
</file>