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088A7" w14:textId="53A7A265" w:rsidR="00D5747B" w:rsidRDefault="00D5747B" w:rsidP="00975033">
      <w:pPr>
        <w:snapToGrid w:val="0"/>
        <w:ind w:left="708" w:hanging="708"/>
        <w:jc w:val="center"/>
        <w:rPr>
          <w:rFonts w:ascii="Verdana" w:hAnsi="Verdana"/>
          <w:b/>
          <w:sz w:val="20"/>
          <w:szCs w:val="20"/>
          <w:lang w:val="es-ES"/>
        </w:rPr>
      </w:pPr>
      <w:bookmarkStart w:id="0" w:name="_Hlk46420767"/>
      <w:r w:rsidRPr="00975033">
        <w:rPr>
          <w:rFonts w:ascii="Verdana" w:hAnsi="Verdana"/>
          <w:b/>
          <w:sz w:val="20"/>
          <w:szCs w:val="20"/>
          <w:lang w:val="es-ES"/>
        </w:rPr>
        <w:t xml:space="preserve">VOTO CONCURRENTE </w:t>
      </w:r>
    </w:p>
    <w:p w14:paraId="610DF0FA" w14:textId="6EE2A36C" w:rsidR="00811545" w:rsidRPr="00975033" w:rsidRDefault="00811545" w:rsidP="00975033">
      <w:pPr>
        <w:snapToGrid w:val="0"/>
        <w:ind w:left="708" w:hanging="708"/>
        <w:jc w:val="center"/>
        <w:rPr>
          <w:rFonts w:ascii="Verdana" w:hAnsi="Verdana"/>
          <w:b/>
          <w:sz w:val="20"/>
          <w:szCs w:val="20"/>
          <w:lang w:val="es-ES"/>
        </w:rPr>
      </w:pPr>
      <w:r w:rsidRPr="00975033">
        <w:rPr>
          <w:rFonts w:ascii="Verdana" w:hAnsi="Verdana"/>
          <w:b/>
          <w:sz w:val="20"/>
          <w:szCs w:val="20"/>
          <w:lang w:val="es-ES"/>
        </w:rPr>
        <w:t>JUEZ L. PATRICIO PAZMIÑO FREIRE</w:t>
      </w:r>
    </w:p>
    <w:p w14:paraId="19670FC3" w14:textId="77777777" w:rsidR="00127596" w:rsidRPr="00975033" w:rsidRDefault="00127596" w:rsidP="00975033">
      <w:pPr>
        <w:snapToGrid w:val="0"/>
        <w:jc w:val="center"/>
        <w:rPr>
          <w:rFonts w:ascii="Verdana" w:hAnsi="Verdana"/>
          <w:b/>
          <w:sz w:val="20"/>
          <w:szCs w:val="20"/>
          <w:lang w:val="es-ES"/>
        </w:rPr>
      </w:pPr>
      <w:r w:rsidRPr="00975033">
        <w:rPr>
          <w:rFonts w:ascii="Verdana" w:hAnsi="Verdana"/>
          <w:b/>
          <w:sz w:val="20"/>
          <w:szCs w:val="20"/>
          <w:lang w:val="es-ES"/>
        </w:rPr>
        <w:t>CASO EMPLEADOS DE LA FÁBRICA DE FUEGOS EN SANTO ANTÔNIO DE JESUS Y SUS FAMILIARES VS. BRASIL</w:t>
      </w:r>
    </w:p>
    <w:p w14:paraId="6AAFDFBA" w14:textId="77777777" w:rsidR="00127596" w:rsidRPr="00975033" w:rsidRDefault="00127596" w:rsidP="00975033">
      <w:pPr>
        <w:snapToGrid w:val="0"/>
        <w:jc w:val="center"/>
        <w:rPr>
          <w:rFonts w:ascii="Verdana" w:hAnsi="Verdana"/>
          <w:b/>
          <w:sz w:val="20"/>
          <w:szCs w:val="20"/>
          <w:lang w:val="es-ES"/>
        </w:rPr>
      </w:pPr>
      <w:r w:rsidRPr="00975033">
        <w:rPr>
          <w:rFonts w:ascii="Verdana" w:hAnsi="Verdana"/>
          <w:b/>
          <w:sz w:val="20"/>
          <w:szCs w:val="20"/>
          <w:lang w:val="es-ES"/>
        </w:rPr>
        <w:t>SENTENCIA DE 15 DE JULIO DE 2020</w:t>
      </w:r>
    </w:p>
    <w:p w14:paraId="7826C8EB" w14:textId="6D57B67F" w:rsidR="007A278B" w:rsidRPr="00975033" w:rsidRDefault="007A278B" w:rsidP="00975033">
      <w:pPr>
        <w:snapToGrid w:val="0"/>
        <w:jc w:val="center"/>
        <w:rPr>
          <w:rFonts w:ascii="Verdana" w:hAnsi="Verdana"/>
          <w:b/>
          <w:sz w:val="20"/>
          <w:szCs w:val="20"/>
          <w:lang w:val="es-ES"/>
        </w:rPr>
      </w:pPr>
    </w:p>
    <w:p w14:paraId="4F772363" w14:textId="77777777" w:rsidR="00247EE8" w:rsidRPr="00975033" w:rsidRDefault="00247EE8" w:rsidP="00975033">
      <w:pPr>
        <w:snapToGrid w:val="0"/>
        <w:jc w:val="center"/>
        <w:rPr>
          <w:rFonts w:ascii="Verdana" w:hAnsi="Verdana"/>
          <w:b/>
          <w:sz w:val="20"/>
          <w:szCs w:val="20"/>
          <w:lang w:val="es-ES"/>
        </w:rPr>
      </w:pPr>
    </w:p>
    <w:p w14:paraId="28955EF0" w14:textId="77777777" w:rsidR="00E623E0" w:rsidRPr="00975033" w:rsidRDefault="00D5747B" w:rsidP="00975033">
      <w:pPr>
        <w:pStyle w:val="Prrafodelista"/>
        <w:numPr>
          <w:ilvl w:val="0"/>
          <w:numId w:val="7"/>
        </w:numPr>
        <w:tabs>
          <w:tab w:val="left" w:pos="709"/>
        </w:tabs>
        <w:snapToGrid w:val="0"/>
        <w:spacing w:after="0" w:line="240" w:lineRule="auto"/>
        <w:ind w:left="1417" w:hanging="357"/>
        <w:contextualSpacing w:val="0"/>
        <w:jc w:val="both"/>
        <w:rPr>
          <w:rFonts w:ascii="Verdana" w:hAnsi="Verdana"/>
          <w:b/>
          <w:sz w:val="20"/>
          <w:szCs w:val="20"/>
          <w:lang w:val="es-ES"/>
        </w:rPr>
      </w:pPr>
      <w:r w:rsidRPr="00975033">
        <w:rPr>
          <w:rFonts w:ascii="Verdana" w:hAnsi="Verdana"/>
          <w:b/>
          <w:sz w:val="20"/>
          <w:szCs w:val="20"/>
          <w:lang w:val="es-ES"/>
        </w:rPr>
        <w:t>Introducción</w:t>
      </w:r>
    </w:p>
    <w:p w14:paraId="0567EC17" w14:textId="77777777" w:rsidR="00127596" w:rsidRPr="00975033" w:rsidRDefault="00127596" w:rsidP="00975033">
      <w:pPr>
        <w:tabs>
          <w:tab w:val="left" w:pos="709"/>
        </w:tabs>
        <w:snapToGrid w:val="0"/>
        <w:jc w:val="both"/>
        <w:rPr>
          <w:rFonts w:ascii="Verdana" w:hAnsi="Verdana"/>
          <w:b/>
          <w:sz w:val="20"/>
          <w:szCs w:val="20"/>
          <w:lang w:val="es-ES"/>
        </w:rPr>
      </w:pPr>
    </w:p>
    <w:p w14:paraId="7ED8EC18" w14:textId="18C806A6" w:rsidR="00EF520D" w:rsidRPr="00975033" w:rsidRDefault="00D5747B"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 xml:space="preserve">La sentencia </w:t>
      </w:r>
      <w:r w:rsidR="00592D8D" w:rsidRPr="00975033">
        <w:rPr>
          <w:rFonts w:ascii="Verdana" w:hAnsi="Verdana"/>
          <w:sz w:val="20"/>
          <w:szCs w:val="20"/>
          <w:lang w:val="es-ES"/>
        </w:rPr>
        <w:t>d</w:t>
      </w:r>
      <w:r w:rsidR="00E87035" w:rsidRPr="00975033">
        <w:rPr>
          <w:rFonts w:ascii="Verdana" w:hAnsi="Verdana"/>
          <w:sz w:val="20"/>
          <w:szCs w:val="20"/>
          <w:lang w:val="es-ES"/>
        </w:rPr>
        <w:t>el</w:t>
      </w:r>
      <w:r w:rsidRPr="00975033">
        <w:rPr>
          <w:rFonts w:ascii="Verdana" w:hAnsi="Verdana"/>
          <w:sz w:val="20"/>
          <w:szCs w:val="20"/>
          <w:lang w:val="es-ES"/>
        </w:rPr>
        <w:t xml:space="preserve"> caso </w:t>
      </w:r>
      <w:r w:rsidR="00091DF4" w:rsidRPr="00975033">
        <w:rPr>
          <w:rFonts w:ascii="Verdana" w:hAnsi="Verdana"/>
          <w:i/>
          <w:iCs/>
          <w:sz w:val="20"/>
          <w:szCs w:val="20"/>
          <w:lang w:val="es-ES"/>
        </w:rPr>
        <w:t>Empleados de la Fábrica de Fuegos en Santo Antônio de Jesus y sus Familiares Vs. Brasil</w:t>
      </w:r>
      <w:r w:rsidR="00091DF4" w:rsidRPr="00975033">
        <w:rPr>
          <w:rFonts w:ascii="Verdana" w:hAnsi="Verdana"/>
          <w:sz w:val="20"/>
          <w:szCs w:val="20"/>
          <w:lang w:val="es-ES"/>
        </w:rPr>
        <w:t xml:space="preserve"> </w:t>
      </w:r>
      <w:r w:rsidR="00BE5356">
        <w:rPr>
          <w:rFonts w:ascii="Verdana" w:hAnsi="Verdana"/>
          <w:sz w:val="20"/>
          <w:szCs w:val="20"/>
          <w:lang w:val="es-ES"/>
        </w:rPr>
        <w:t xml:space="preserve">(en adelante, “la Sentencia”) </w:t>
      </w:r>
      <w:r w:rsidR="00273A60" w:rsidRPr="00975033">
        <w:rPr>
          <w:rFonts w:ascii="Verdana" w:hAnsi="Verdana"/>
          <w:sz w:val="20"/>
          <w:szCs w:val="20"/>
          <w:lang w:val="es-ES"/>
        </w:rPr>
        <w:t>reconoc</w:t>
      </w:r>
      <w:r w:rsidR="00A104E5" w:rsidRPr="00975033">
        <w:rPr>
          <w:rFonts w:ascii="Verdana" w:hAnsi="Verdana"/>
          <w:sz w:val="20"/>
          <w:szCs w:val="20"/>
          <w:lang w:val="es-ES"/>
        </w:rPr>
        <w:t>ió</w:t>
      </w:r>
      <w:r w:rsidR="00273A60" w:rsidRPr="00975033">
        <w:rPr>
          <w:rFonts w:ascii="Verdana" w:hAnsi="Verdana"/>
          <w:sz w:val="20"/>
          <w:szCs w:val="20"/>
          <w:lang w:val="es-ES"/>
        </w:rPr>
        <w:t xml:space="preserve"> la pobreza estructural en que vivían las 60 víctimas fallecidas y las 6 sobrevivientes de la explosión de la fábrica de fuegos</w:t>
      </w:r>
      <w:r w:rsidR="00864FF0" w:rsidRPr="00975033">
        <w:rPr>
          <w:rFonts w:ascii="Verdana" w:hAnsi="Verdana"/>
          <w:sz w:val="20"/>
          <w:szCs w:val="20"/>
          <w:lang w:val="es-ES"/>
        </w:rPr>
        <w:t xml:space="preserve"> artificiales</w:t>
      </w:r>
      <w:r w:rsidR="0035009E" w:rsidRPr="00975033">
        <w:rPr>
          <w:rFonts w:ascii="Verdana" w:hAnsi="Verdana"/>
          <w:sz w:val="20"/>
          <w:szCs w:val="20"/>
          <w:lang w:val="es-ES"/>
        </w:rPr>
        <w:t>, ocurrida el 11 de diciembre de 1998</w:t>
      </w:r>
      <w:r w:rsidR="00E623E0" w:rsidRPr="00975033">
        <w:rPr>
          <w:rStyle w:val="Refdenotaalpie"/>
          <w:rFonts w:ascii="Verdana" w:hAnsi="Verdana" w:cs="Calibri"/>
          <w:sz w:val="20"/>
          <w:szCs w:val="20"/>
          <w:lang w:val="es-ES"/>
        </w:rPr>
        <w:footnoteReference w:id="1"/>
      </w:r>
      <w:r w:rsidR="00273A60" w:rsidRPr="00975033">
        <w:rPr>
          <w:rFonts w:ascii="Verdana" w:hAnsi="Verdana" w:cs="Calibri"/>
          <w:sz w:val="20"/>
          <w:szCs w:val="20"/>
          <w:lang w:val="es-ES"/>
        </w:rPr>
        <w:t xml:space="preserve">, </w:t>
      </w:r>
      <w:r w:rsidR="0035009E" w:rsidRPr="00975033">
        <w:rPr>
          <w:rFonts w:ascii="Verdana" w:hAnsi="Verdana" w:cs="Calibri"/>
          <w:sz w:val="20"/>
          <w:szCs w:val="20"/>
          <w:lang w:val="es-ES"/>
        </w:rPr>
        <w:t xml:space="preserve">lo que, </w:t>
      </w:r>
      <w:r w:rsidR="009E52B2">
        <w:rPr>
          <w:rFonts w:ascii="Verdana" w:hAnsi="Verdana" w:cs="Calibri"/>
          <w:sz w:val="20"/>
          <w:szCs w:val="20"/>
          <w:lang w:val="es-ES"/>
        </w:rPr>
        <w:t>agr</w:t>
      </w:r>
      <w:r w:rsidR="00B82684">
        <w:rPr>
          <w:rFonts w:ascii="Verdana" w:hAnsi="Verdana" w:cs="Calibri"/>
          <w:sz w:val="20"/>
          <w:szCs w:val="20"/>
          <w:lang w:val="es-ES"/>
        </w:rPr>
        <w:t>e</w:t>
      </w:r>
      <w:r w:rsidR="009E52B2">
        <w:rPr>
          <w:rFonts w:ascii="Verdana" w:hAnsi="Verdana" w:cs="Calibri"/>
          <w:sz w:val="20"/>
          <w:szCs w:val="20"/>
          <w:lang w:val="es-ES"/>
        </w:rPr>
        <w:t>gado</w:t>
      </w:r>
      <w:r w:rsidR="0035009E" w:rsidRPr="00975033">
        <w:rPr>
          <w:rFonts w:ascii="Verdana" w:hAnsi="Verdana" w:cs="Calibri"/>
          <w:sz w:val="20"/>
          <w:szCs w:val="20"/>
          <w:lang w:val="es-ES"/>
        </w:rPr>
        <w:t xml:space="preserve"> a otros factores </w:t>
      </w:r>
      <w:proofErr w:type="spellStart"/>
      <w:r w:rsidR="0035009E" w:rsidRPr="00975033">
        <w:rPr>
          <w:rFonts w:ascii="Verdana" w:hAnsi="Verdana" w:cs="Calibri"/>
          <w:sz w:val="20"/>
          <w:szCs w:val="20"/>
          <w:lang w:val="es-ES"/>
        </w:rPr>
        <w:t>interseccionales</w:t>
      </w:r>
      <w:proofErr w:type="spellEnd"/>
      <w:r w:rsidR="0035009E" w:rsidRPr="00975033">
        <w:rPr>
          <w:rFonts w:ascii="Verdana" w:hAnsi="Verdana" w:cs="Calibri"/>
          <w:sz w:val="20"/>
          <w:szCs w:val="20"/>
          <w:lang w:val="es-ES"/>
        </w:rPr>
        <w:t xml:space="preserve"> de discriminación, </w:t>
      </w:r>
      <w:r w:rsidR="00D83756" w:rsidRPr="00975033">
        <w:rPr>
          <w:rFonts w:ascii="Verdana" w:hAnsi="Verdana" w:cs="Calibri"/>
          <w:sz w:val="20"/>
          <w:szCs w:val="20"/>
          <w:lang w:val="es-ES"/>
        </w:rPr>
        <w:t xml:space="preserve">permitió </w:t>
      </w:r>
      <w:r w:rsidR="00864FF0" w:rsidRPr="00975033">
        <w:rPr>
          <w:rFonts w:ascii="Verdana" w:hAnsi="Verdana" w:cs="Calibri"/>
          <w:sz w:val="20"/>
          <w:szCs w:val="20"/>
          <w:lang w:val="es-ES"/>
        </w:rPr>
        <w:t>que esas personas estuvieran bajo una</w:t>
      </w:r>
      <w:r w:rsidR="0035009E" w:rsidRPr="00975033">
        <w:rPr>
          <w:rFonts w:ascii="Verdana" w:hAnsi="Verdana" w:cs="Calibri"/>
          <w:sz w:val="20"/>
          <w:szCs w:val="20"/>
          <w:lang w:val="es-ES"/>
        </w:rPr>
        <w:t xml:space="preserve"> condición de</w:t>
      </w:r>
      <w:r w:rsidR="00864FF0" w:rsidRPr="00975033">
        <w:rPr>
          <w:rFonts w:ascii="Verdana" w:hAnsi="Verdana" w:cs="Calibri"/>
          <w:sz w:val="20"/>
          <w:szCs w:val="20"/>
          <w:lang w:val="es-ES"/>
        </w:rPr>
        <w:t xml:space="preserve"> extrema</w:t>
      </w:r>
      <w:r w:rsidR="0035009E" w:rsidRPr="00975033">
        <w:rPr>
          <w:rFonts w:ascii="Verdana" w:hAnsi="Verdana" w:cs="Calibri"/>
          <w:sz w:val="20"/>
          <w:szCs w:val="20"/>
          <w:lang w:val="es-ES"/>
        </w:rPr>
        <w:t xml:space="preserve"> vulnerabilidad</w:t>
      </w:r>
      <w:r w:rsidR="00864FF0" w:rsidRPr="00975033">
        <w:rPr>
          <w:rFonts w:ascii="Verdana" w:hAnsi="Verdana" w:cs="Calibri"/>
          <w:sz w:val="20"/>
          <w:szCs w:val="20"/>
          <w:lang w:val="es-ES"/>
        </w:rPr>
        <w:t>. La Corte concluyó que dicha condición</w:t>
      </w:r>
      <w:r w:rsidR="0035009E" w:rsidRPr="00975033">
        <w:rPr>
          <w:rFonts w:ascii="Verdana" w:hAnsi="Verdana" w:cs="Calibri"/>
          <w:sz w:val="20"/>
          <w:szCs w:val="20"/>
          <w:lang w:val="es-ES"/>
        </w:rPr>
        <w:t xml:space="preserve"> </w:t>
      </w:r>
      <w:r w:rsidR="009E52B2">
        <w:rPr>
          <w:rFonts w:ascii="Verdana" w:hAnsi="Verdana" w:cs="Calibri"/>
          <w:sz w:val="20"/>
          <w:szCs w:val="20"/>
          <w:lang w:val="es-ES"/>
        </w:rPr>
        <w:t xml:space="preserve">se configura y </w:t>
      </w:r>
      <w:r w:rsidR="0035009E" w:rsidRPr="00975033">
        <w:rPr>
          <w:rFonts w:ascii="Verdana" w:hAnsi="Verdana" w:cs="Calibri"/>
          <w:sz w:val="20"/>
          <w:szCs w:val="20"/>
          <w:lang w:val="es-ES"/>
        </w:rPr>
        <w:t>facilit</w:t>
      </w:r>
      <w:r w:rsidR="009E52B2">
        <w:rPr>
          <w:rFonts w:ascii="Verdana" w:hAnsi="Verdana" w:cs="Calibri"/>
          <w:sz w:val="20"/>
          <w:szCs w:val="20"/>
          <w:lang w:val="es-ES"/>
        </w:rPr>
        <w:t>a debido a que</w:t>
      </w:r>
      <w:r w:rsidR="0035009E" w:rsidRPr="00975033">
        <w:rPr>
          <w:rFonts w:ascii="Verdana" w:hAnsi="Verdana" w:cs="Calibri"/>
          <w:sz w:val="20"/>
          <w:szCs w:val="20"/>
          <w:lang w:val="es-ES"/>
        </w:rPr>
        <w:t xml:space="preserve"> </w:t>
      </w:r>
      <w:r w:rsidR="009E52B2">
        <w:rPr>
          <w:rFonts w:ascii="Verdana" w:hAnsi="Verdana" w:cs="Calibri"/>
          <w:sz w:val="20"/>
          <w:szCs w:val="20"/>
          <w:lang w:val="es-ES"/>
        </w:rPr>
        <w:t>el</w:t>
      </w:r>
      <w:r w:rsidR="0035009E" w:rsidRPr="00975033">
        <w:rPr>
          <w:rFonts w:ascii="Verdana" w:hAnsi="Verdana" w:cs="Calibri"/>
          <w:sz w:val="20"/>
          <w:szCs w:val="20"/>
          <w:lang w:val="es-ES"/>
        </w:rPr>
        <w:t xml:space="preserve"> funcionamiento de </w:t>
      </w:r>
      <w:r w:rsidR="00864FF0" w:rsidRPr="00975033">
        <w:rPr>
          <w:rFonts w:ascii="Verdana" w:hAnsi="Verdana" w:cs="Calibri"/>
          <w:sz w:val="20"/>
          <w:szCs w:val="20"/>
          <w:lang w:val="es-ES"/>
        </w:rPr>
        <w:t>la</w:t>
      </w:r>
      <w:r w:rsidR="0035009E" w:rsidRPr="00975033">
        <w:rPr>
          <w:rFonts w:ascii="Verdana" w:hAnsi="Verdana" w:cs="Calibri"/>
          <w:sz w:val="20"/>
          <w:szCs w:val="20"/>
          <w:lang w:val="es-ES"/>
        </w:rPr>
        <w:t xml:space="preserve"> fábrica</w:t>
      </w:r>
      <w:r w:rsidR="00864FF0" w:rsidRPr="00975033">
        <w:rPr>
          <w:rFonts w:ascii="Verdana" w:hAnsi="Verdana" w:cs="Calibri"/>
          <w:sz w:val="20"/>
          <w:szCs w:val="20"/>
          <w:lang w:val="es-ES"/>
        </w:rPr>
        <w:t xml:space="preserve"> de fuegos, </w:t>
      </w:r>
      <w:r w:rsidR="009E52B2">
        <w:rPr>
          <w:rFonts w:ascii="Verdana" w:hAnsi="Verdana" w:cs="Calibri"/>
          <w:sz w:val="20"/>
          <w:szCs w:val="20"/>
          <w:lang w:val="es-ES"/>
        </w:rPr>
        <w:t xml:space="preserve">que </w:t>
      </w:r>
      <w:r w:rsidR="00864FF0" w:rsidRPr="00975033">
        <w:rPr>
          <w:rFonts w:ascii="Verdana" w:hAnsi="Verdana" w:cs="Calibri"/>
          <w:sz w:val="20"/>
          <w:szCs w:val="20"/>
          <w:lang w:val="es-ES"/>
        </w:rPr>
        <w:t xml:space="preserve">se </w:t>
      </w:r>
      <w:r w:rsidR="0035009E" w:rsidRPr="00975033">
        <w:rPr>
          <w:rFonts w:ascii="Verdana" w:hAnsi="Verdana" w:cs="Calibri"/>
          <w:sz w:val="20"/>
          <w:szCs w:val="20"/>
          <w:lang w:val="es-ES"/>
        </w:rPr>
        <w:t>dedica</w:t>
      </w:r>
      <w:r w:rsidR="00864FF0" w:rsidRPr="00975033">
        <w:rPr>
          <w:rFonts w:ascii="Verdana" w:hAnsi="Verdana" w:cs="Calibri"/>
          <w:sz w:val="20"/>
          <w:szCs w:val="20"/>
          <w:lang w:val="es-ES"/>
        </w:rPr>
        <w:t>b</w:t>
      </w:r>
      <w:r w:rsidR="0035009E" w:rsidRPr="00975033">
        <w:rPr>
          <w:rFonts w:ascii="Verdana" w:hAnsi="Verdana" w:cs="Calibri"/>
          <w:sz w:val="20"/>
          <w:szCs w:val="20"/>
          <w:lang w:val="es-ES"/>
        </w:rPr>
        <w:t>a a una actividad especialmente peligrosa</w:t>
      </w:r>
      <w:r w:rsidR="00B82684">
        <w:rPr>
          <w:rFonts w:ascii="Verdana" w:hAnsi="Verdana" w:cs="Calibri"/>
          <w:sz w:val="20"/>
          <w:szCs w:val="20"/>
          <w:lang w:val="es-ES"/>
        </w:rPr>
        <w:t>,</w:t>
      </w:r>
      <w:r w:rsidR="003E0D2E" w:rsidRPr="00975033">
        <w:rPr>
          <w:rFonts w:ascii="Verdana" w:hAnsi="Verdana" w:cs="Calibri"/>
          <w:sz w:val="20"/>
          <w:szCs w:val="20"/>
          <w:lang w:val="es-ES"/>
        </w:rPr>
        <w:t xml:space="preserve"> sin </w:t>
      </w:r>
      <w:r w:rsidR="00D83756" w:rsidRPr="00975033">
        <w:rPr>
          <w:rFonts w:ascii="Verdana" w:hAnsi="Verdana" w:cs="Calibri"/>
          <w:sz w:val="20"/>
          <w:szCs w:val="20"/>
          <w:lang w:val="es-ES"/>
        </w:rPr>
        <w:t xml:space="preserve">ninguna </w:t>
      </w:r>
      <w:r w:rsidR="0035009E" w:rsidRPr="00975033">
        <w:rPr>
          <w:rFonts w:ascii="Verdana" w:hAnsi="Verdana" w:cs="Calibri"/>
          <w:sz w:val="20"/>
          <w:szCs w:val="20"/>
          <w:lang w:val="es-ES"/>
        </w:rPr>
        <w:t>fiscalización por parte del Estado</w:t>
      </w:r>
      <w:r w:rsidR="003E0D2E" w:rsidRPr="00975033">
        <w:rPr>
          <w:rFonts w:ascii="Verdana" w:hAnsi="Verdana" w:cs="Calibri"/>
          <w:sz w:val="20"/>
          <w:szCs w:val="20"/>
          <w:lang w:val="es-ES"/>
        </w:rPr>
        <w:t>,</w:t>
      </w:r>
      <w:r w:rsidR="0035009E" w:rsidRPr="00975033">
        <w:rPr>
          <w:rFonts w:ascii="Verdana" w:hAnsi="Verdana" w:cs="Calibri"/>
          <w:sz w:val="20"/>
          <w:szCs w:val="20"/>
          <w:lang w:val="es-ES"/>
        </w:rPr>
        <w:t xml:space="preserve"> llevó a las </w:t>
      </w:r>
      <w:r w:rsidR="003E0D2E" w:rsidRPr="00975033">
        <w:rPr>
          <w:rFonts w:ascii="Verdana" w:hAnsi="Verdana" w:cs="Calibri"/>
          <w:sz w:val="20"/>
          <w:szCs w:val="20"/>
          <w:lang w:val="es-ES"/>
        </w:rPr>
        <w:t>trabajadoras, víctimas del cas</w:t>
      </w:r>
      <w:r w:rsidR="00B82684">
        <w:rPr>
          <w:rFonts w:ascii="Verdana" w:hAnsi="Verdana" w:cs="Calibri"/>
          <w:sz w:val="20"/>
          <w:szCs w:val="20"/>
          <w:lang w:val="es-ES"/>
        </w:rPr>
        <w:t>o</w:t>
      </w:r>
      <w:r w:rsidR="003E0D2E" w:rsidRPr="00975033">
        <w:rPr>
          <w:rFonts w:ascii="Verdana" w:hAnsi="Verdana" w:cs="Calibri"/>
          <w:sz w:val="20"/>
          <w:szCs w:val="20"/>
          <w:lang w:val="es-ES"/>
        </w:rPr>
        <w:t>,</w:t>
      </w:r>
      <w:r w:rsidR="0035009E" w:rsidRPr="00975033">
        <w:rPr>
          <w:rFonts w:ascii="Verdana" w:hAnsi="Verdana" w:cs="Calibri"/>
          <w:sz w:val="20"/>
          <w:szCs w:val="20"/>
          <w:lang w:val="es-ES"/>
        </w:rPr>
        <w:t xml:space="preserve"> a aceptar un trabajo </w:t>
      </w:r>
      <w:r w:rsidR="009E52B2">
        <w:rPr>
          <w:rFonts w:ascii="Verdana" w:hAnsi="Verdana" w:cs="Calibri"/>
          <w:sz w:val="20"/>
          <w:szCs w:val="20"/>
          <w:lang w:val="es-ES"/>
        </w:rPr>
        <w:t xml:space="preserve">en condiciones </w:t>
      </w:r>
      <w:r w:rsidR="0035009E" w:rsidRPr="00975033">
        <w:rPr>
          <w:rFonts w:ascii="Verdana" w:hAnsi="Verdana" w:cs="Calibri"/>
          <w:sz w:val="20"/>
          <w:szCs w:val="20"/>
          <w:lang w:val="es-ES"/>
        </w:rPr>
        <w:t>que ponía</w:t>
      </w:r>
      <w:r w:rsidR="009E52B2">
        <w:rPr>
          <w:rFonts w:ascii="Verdana" w:hAnsi="Verdana" w:cs="Calibri"/>
          <w:sz w:val="20"/>
          <w:szCs w:val="20"/>
          <w:lang w:val="es-ES"/>
        </w:rPr>
        <w:t>n</w:t>
      </w:r>
      <w:r w:rsidR="0035009E" w:rsidRPr="00975033">
        <w:rPr>
          <w:rFonts w:ascii="Verdana" w:hAnsi="Verdana" w:cs="Calibri"/>
          <w:sz w:val="20"/>
          <w:szCs w:val="20"/>
          <w:lang w:val="es-ES"/>
        </w:rPr>
        <w:t xml:space="preserve"> en riesgo su vida e integridad</w:t>
      </w:r>
      <w:r w:rsidR="00314130">
        <w:rPr>
          <w:rFonts w:ascii="Verdana" w:hAnsi="Verdana" w:cs="Calibri"/>
          <w:sz w:val="20"/>
          <w:szCs w:val="20"/>
          <w:lang w:val="es-ES"/>
        </w:rPr>
        <w:t>,</w:t>
      </w:r>
      <w:r w:rsidR="0035009E" w:rsidRPr="00975033">
        <w:rPr>
          <w:rFonts w:ascii="Verdana" w:hAnsi="Verdana" w:cs="Calibri"/>
          <w:sz w:val="20"/>
          <w:szCs w:val="20"/>
          <w:lang w:val="es-ES"/>
        </w:rPr>
        <w:t xml:space="preserve"> </w:t>
      </w:r>
      <w:r w:rsidR="00B82684">
        <w:rPr>
          <w:rFonts w:ascii="Verdana" w:hAnsi="Verdana" w:cs="Calibri"/>
          <w:sz w:val="20"/>
          <w:szCs w:val="20"/>
          <w:lang w:val="es-ES"/>
        </w:rPr>
        <w:t xml:space="preserve">así como </w:t>
      </w:r>
      <w:r w:rsidR="0035009E" w:rsidRPr="00975033">
        <w:rPr>
          <w:rFonts w:ascii="Verdana" w:hAnsi="Verdana" w:cs="Calibri"/>
          <w:sz w:val="20"/>
          <w:szCs w:val="20"/>
          <w:lang w:val="es-ES"/>
        </w:rPr>
        <w:t>la de sus hijas e hijos menores de edad</w:t>
      </w:r>
      <w:r w:rsidR="00864FF0" w:rsidRPr="00975033">
        <w:rPr>
          <w:rStyle w:val="Refdenotaalpie"/>
          <w:rFonts w:ascii="Verdana" w:hAnsi="Verdana" w:cs="Calibri"/>
          <w:sz w:val="20"/>
          <w:szCs w:val="20"/>
          <w:lang w:val="es-ES"/>
        </w:rPr>
        <w:footnoteReference w:id="2"/>
      </w:r>
      <w:r w:rsidR="00E623E0" w:rsidRPr="00975033">
        <w:rPr>
          <w:rFonts w:ascii="Verdana" w:hAnsi="Verdana" w:cs="Calibri"/>
          <w:sz w:val="20"/>
          <w:szCs w:val="20"/>
          <w:lang w:val="es-ES"/>
        </w:rPr>
        <w:t xml:space="preserve">. </w:t>
      </w:r>
    </w:p>
    <w:p w14:paraId="62E64855" w14:textId="77777777" w:rsidR="00EF520D" w:rsidRPr="00975033" w:rsidRDefault="00EF520D" w:rsidP="00975033">
      <w:pPr>
        <w:pStyle w:val="Prrafodelista"/>
        <w:snapToGrid w:val="0"/>
        <w:spacing w:after="0" w:line="240" w:lineRule="auto"/>
        <w:ind w:left="0"/>
        <w:contextualSpacing w:val="0"/>
        <w:jc w:val="both"/>
        <w:rPr>
          <w:rFonts w:ascii="Verdana" w:hAnsi="Verdana"/>
          <w:sz w:val="20"/>
          <w:szCs w:val="20"/>
          <w:lang w:val="es-ES"/>
        </w:rPr>
      </w:pPr>
    </w:p>
    <w:p w14:paraId="3771C935" w14:textId="77777777" w:rsidR="00EF520D" w:rsidRPr="00975033" w:rsidRDefault="009C5369"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cs="Calibri"/>
          <w:sz w:val="20"/>
          <w:szCs w:val="20"/>
          <w:lang w:val="es-ES"/>
        </w:rPr>
        <w:t xml:space="preserve">La sentencia, asimismo, </w:t>
      </w:r>
      <w:r w:rsidR="00400E32" w:rsidRPr="00975033">
        <w:rPr>
          <w:rFonts w:ascii="Verdana" w:hAnsi="Verdana" w:cs="Calibri"/>
          <w:sz w:val="20"/>
          <w:szCs w:val="20"/>
          <w:lang w:val="es-ES"/>
        </w:rPr>
        <w:t>consideró que las trabajadoras de la fábrica no tenían otra alternativa de trabajo diferente a la fabricación de fuegos artificiales</w:t>
      </w:r>
      <w:r w:rsidR="00400E32" w:rsidRPr="00975033">
        <w:rPr>
          <w:rStyle w:val="Refdenotaalpie"/>
          <w:rFonts w:ascii="Verdana" w:hAnsi="Verdana" w:cs="Calibri"/>
          <w:sz w:val="20"/>
          <w:szCs w:val="20"/>
          <w:lang w:val="es-ES"/>
        </w:rPr>
        <w:footnoteReference w:id="3"/>
      </w:r>
      <w:r w:rsidR="00400E32" w:rsidRPr="00975033">
        <w:rPr>
          <w:rFonts w:ascii="Verdana" w:hAnsi="Verdana" w:cs="Calibri"/>
          <w:sz w:val="20"/>
          <w:szCs w:val="20"/>
          <w:lang w:val="es-ES"/>
        </w:rPr>
        <w:t>, y concluyó que</w:t>
      </w:r>
      <w:r w:rsidR="00E00306" w:rsidRPr="00975033">
        <w:rPr>
          <w:rFonts w:ascii="Verdana" w:hAnsi="Verdana" w:cs="Calibri"/>
          <w:sz w:val="20"/>
          <w:szCs w:val="20"/>
          <w:lang w:val="es-ES"/>
        </w:rPr>
        <w:t>, al no haber fiscalizado la actividad peligrosa llevada a cabo en la fábrica</w:t>
      </w:r>
      <w:r w:rsidR="00D83756" w:rsidRPr="00975033">
        <w:rPr>
          <w:rFonts w:ascii="Verdana" w:hAnsi="Verdana" w:cs="Calibri"/>
          <w:sz w:val="20"/>
          <w:szCs w:val="20"/>
          <w:lang w:val="es-ES"/>
        </w:rPr>
        <w:t>,</w:t>
      </w:r>
      <w:r w:rsidR="00E00306" w:rsidRPr="00975033">
        <w:rPr>
          <w:rFonts w:ascii="Verdana" w:hAnsi="Verdana" w:cs="Calibri"/>
          <w:sz w:val="20"/>
          <w:szCs w:val="20"/>
          <w:lang w:val="es-ES"/>
        </w:rPr>
        <w:t xml:space="preserve"> así como</w:t>
      </w:r>
      <w:r w:rsidR="00400E32" w:rsidRPr="00975033">
        <w:rPr>
          <w:rFonts w:ascii="Verdana" w:hAnsi="Verdana" w:cs="Calibri"/>
          <w:sz w:val="20"/>
          <w:szCs w:val="20"/>
          <w:lang w:val="es-ES"/>
        </w:rPr>
        <w:t xml:space="preserve"> </w:t>
      </w:r>
      <w:r w:rsidR="00E00306" w:rsidRPr="00975033">
        <w:rPr>
          <w:rFonts w:ascii="Verdana" w:hAnsi="Verdana" w:cs="Calibri"/>
          <w:sz w:val="20"/>
          <w:szCs w:val="20"/>
          <w:lang w:val="es-ES"/>
        </w:rPr>
        <w:t>sus</w:t>
      </w:r>
      <w:r w:rsidR="00400E32" w:rsidRPr="00975033">
        <w:rPr>
          <w:rFonts w:ascii="Verdana" w:hAnsi="Verdana" w:cs="Calibri"/>
          <w:sz w:val="20"/>
          <w:szCs w:val="20"/>
          <w:lang w:val="es-ES"/>
        </w:rPr>
        <w:t xml:space="preserve"> condiciones de trabajo – </w:t>
      </w:r>
      <w:r w:rsidR="00E00306" w:rsidRPr="00975033">
        <w:rPr>
          <w:rFonts w:ascii="Verdana" w:hAnsi="Verdana" w:cs="Calibri"/>
          <w:sz w:val="20"/>
          <w:szCs w:val="20"/>
          <w:lang w:val="es-ES"/>
        </w:rPr>
        <w:t>“trabajaban en condiciones de precariedad, insalubridad e inseguridad, en carpas ubicadas en potreros […]; [n]unca recibieron instrucción alguna sobre medidas de seguridad, ni elementos de protección para la realización del trabajo”</w:t>
      </w:r>
      <w:r w:rsidR="00E00306" w:rsidRPr="00975033">
        <w:rPr>
          <w:rFonts w:ascii="Verdana" w:hAnsi="Verdana" w:cs="Calibri"/>
          <w:sz w:val="20"/>
          <w:szCs w:val="20"/>
          <w:vertAlign w:val="superscript"/>
          <w:lang w:val="es-ES"/>
        </w:rPr>
        <w:footnoteReference w:id="4"/>
      </w:r>
      <w:r w:rsidR="00400E32" w:rsidRPr="00975033">
        <w:rPr>
          <w:rFonts w:ascii="Verdana" w:hAnsi="Verdana" w:cs="Calibri"/>
          <w:sz w:val="20"/>
          <w:szCs w:val="20"/>
          <w:lang w:val="es-ES"/>
        </w:rPr>
        <w:t xml:space="preserve"> </w:t>
      </w:r>
      <w:r w:rsidR="00993307" w:rsidRPr="00975033">
        <w:rPr>
          <w:rFonts w:ascii="Verdana" w:hAnsi="Verdana" w:cs="Calibri"/>
          <w:sz w:val="20"/>
          <w:szCs w:val="20"/>
          <w:lang w:val="es-ES"/>
        </w:rPr>
        <w:t>–</w:t>
      </w:r>
      <w:r w:rsidR="00400E32" w:rsidRPr="00975033">
        <w:rPr>
          <w:rFonts w:ascii="Verdana" w:hAnsi="Verdana" w:cs="Calibri"/>
          <w:sz w:val="20"/>
          <w:szCs w:val="20"/>
          <w:lang w:val="es-ES"/>
        </w:rPr>
        <w:t xml:space="preserve"> </w:t>
      </w:r>
      <w:r w:rsidR="00E00306" w:rsidRPr="00975033">
        <w:rPr>
          <w:rFonts w:ascii="Verdana" w:hAnsi="Verdana" w:cs="Calibri"/>
          <w:sz w:val="20"/>
          <w:szCs w:val="20"/>
          <w:lang w:val="es-ES"/>
        </w:rPr>
        <w:t xml:space="preserve">el Estado de Brasil violó el </w:t>
      </w:r>
      <w:r w:rsidR="00400E32" w:rsidRPr="00975033">
        <w:rPr>
          <w:rFonts w:ascii="Verdana" w:hAnsi="Verdana" w:cs="Calibri"/>
          <w:sz w:val="20"/>
          <w:szCs w:val="20"/>
          <w:lang w:val="es-ES"/>
        </w:rPr>
        <w:t xml:space="preserve">derecho </w:t>
      </w:r>
      <w:r w:rsidR="00993307" w:rsidRPr="00975033">
        <w:rPr>
          <w:rFonts w:ascii="Verdana" w:hAnsi="Verdana" w:cs="Calibri"/>
          <w:sz w:val="20"/>
          <w:szCs w:val="20"/>
          <w:lang w:val="es-ES"/>
        </w:rPr>
        <w:t xml:space="preserve">a condiciones equitativas y satisfactorias que garanticen la seguridad, </w:t>
      </w:r>
      <w:r w:rsidR="00993307" w:rsidRPr="00975033">
        <w:rPr>
          <w:rFonts w:ascii="Verdana" w:hAnsi="Verdana" w:cs="Calibri"/>
          <w:bCs/>
          <w:sz w:val="20"/>
          <w:szCs w:val="20"/>
          <w:lang w:val="es-ES"/>
        </w:rPr>
        <w:t>la salud</w:t>
      </w:r>
      <w:r w:rsidR="00993307" w:rsidRPr="00975033">
        <w:rPr>
          <w:rFonts w:ascii="Verdana" w:hAnsi="Verdana" w:cs="Calibri"/>
          <w:sz w:val="20"/>
          <w:szCs w:val="20"/>
          <w:lang w:val="es-ES"/>
        </w:rPr>
        <w:t xml:space="preserve"> y la higiene en el trabajo, contenido en </w:t>
      </w:r>
      <w:r w:rsidR="00400E32" w:rsidRPr="00975033">
        <w:rPr>
          <w:rFonts w:ascii="Verdana" w:hAnsi="Verdana" w:cs="Calibri"/>
          <w:sz w:val="20"/>
          <w:szCs w:val="20"/>
          <w:lang w:val="es-ES"/>
        </w:rPr>
        <w:t xml:space="preserve">el artículo </w:t>
      </w:r>
      <w:r w:rsidR="004F456B" w:rsidRPr="00975033">
        <w:rPr>
          <w:rFonts w:ascii="Verdana" w:hAnsi="Verdana" w:cs="Calibri"/>
          <w:sz w:val="20"/>
          <w:szCs w:val="20"/>
          <w:lang w:val="es-ES"/>
        </w:rPr>
        <w:t>26</w:t>
      </w:r>
      <w:r w:rsidR="00400E32" w:rsidRPr="00975033">
        <w:rPr>
          <w:rFonts w:ascii="Verdana" w:hAnsi="Verdana" w:cs="Calibri"/>
          <w:sz w:val="20"/>
          <w:szCs w:val="20"/>
          <w:lang w:val="es-ES"/>
        </w:rPr>
        <w:t xml:space="preserve"> de la Convención Americana.</w:t>
      </w:r>
    </w:p>
    <w:p w14:paraId="2340D869" w14:textId="77777777" w:rsidR="0054229F" w:rsidRPr="00975033" w:rsidRDefault="0054229F" w:rsidP="00975033">
      <w:pPr>
        <w:pStyle w:val="Prrafodelista"/>
        <w:snapToGrid w:val="0"/>
        <w:spacing w:after="0" w:line="240" w:lineRule="auto"/>
        <w:ind w:left="0"/>
        <w:contextualSpacing w:val="0"/>
        <w:jc w:val="both"/>
        <w:rPr>
          <w:rFonts w:ascii="Verdana" w:hAnsi="Verdana"/>
          <w:sz w:val="20"/>
          <w:szCs w:val="20"/>
          <w:lang w:val="es-ES"/>
        </w:rPr>
      </w:pPr>
    </w:p>
    <w:p w14:paraId="09BB0C0A" w14:textId="6B19B0C6" w:rsidR="0054229F" w:rsidRPr="00975033" w:rsidRDefault="00EF520D"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En virtud de</w:t>
      </w:r>
      <w:r w:rsidR="004F456B" w:rsidRPr="00975033">
        <w:rPr>
          <w:rFonts w:ascii="Verdana" w:hAnsi="Verdana"/>
          <w:sz w:val="20"/>
          <w:szCs w:val="20"/>
          <w:lang w:val="es-ES"/>
        </w:rPr>
        <w:t xml:space="preserve"> los elementos señalados,</w:t>
      </w:r>
      <w:r w:rsidR="004A1232">
        <w:rPr>
          <w:rFonts w:ascii="Verdana" w:hAnsi="Verdana"/>
          <w:sz w:val="20"/>
          <w:szCs w:val="20"/>
          <w:lang w:val="es-ES"/>
        </w:rPr>
        <w:t xml:space="preserve"> que hacen parte</w:t>
      </w:r>
      <w:r w:rsidR="004F456B" w:rsidRPr="00975033">
        <w:rPr>
          <w:rFonts w:ascii="Verdana" w:hAnsi="Verdana"/>
          <w:sz w:val="20"/>
          <w:szCs w:val="20"/>
          <w:lang w:val="es-ES"/>
        </w:rPr>
        <w:t xml:space="preserve"> </w:t>
      </w:r>
      <w:r w:rsidR="00936F63" w:rsidRPr="00975033">
        <w:rPr>
          <w:rFonts w:ascii="Verdana" w:hAnsi="Verdana"/>
          <w:sz w:val="20"/>
          <w:szCs w:val="20"/>
          <w:lang w:val="es-ES"/>
        </w:rPr>
        <w:t xml:space="preserve">del acervo probatorio del caso, </w:t>
      </w:r>
      <w:r w:rsidR="004A1232">
        <w:rPr>
          <w:rFonts w:ascii="Verdana" w:hAnsi="Verdana"/>
          <w:sz w:val="20"/>
          <w:szCs w:val="20"/>
          <w:lang w:val="es-ES"/>
        </w:rPr>
        <w:t xml:space="preserve">respecto </w:t>
      </w:r>
      <w:r w:rsidR="00936F63" w:rsidRPr="00975033">
        <w:rPr>
          <w:rFonts w:ascii="Verdana" w:hAnsi="Verdana"/>
          <w:sz w:val="20"/>
          <w:szCs w:val="20"/>
          <w:lang w:val="es-ES"/>
        </w:rPr>
        <w:t xml:space="preserve">de la </w:t>
      </w:r>
      <w:r w:rsidR="004F456B" w:rsidRPr="00975033">
        <w:rPr>
          <w:rFonts w:ascii="Verdana" w:hAnsi="Verdana"/>
          <w:sz w:val="20"/>
          <w:szCs w:val="20"/>
          <w:lang w:val="es-ES"/>
        </w:rPr>
        <w:t>permanencia</w:t>
      </w:r>
      <w:r w:rsidR="00936F63" w:rsidRPr="00975033">
        <w:rPr>
          <w:rFonts w:ascii="Verdana" w:hAnsi="Verdana"/>
          <w:sz w:val="20"/>
          <w:szCs w:val="20"/>
          <w:lang w:val="es-ES"/>
        </w:rPr>
        <w:t xml:space="preserve"> de la condición de vulnerabilidad de las personas que se dedican a la fabricación de fuegos artificiales en Santo Antônio de Jesus</w:t>
      </w:r>
      <w:r w:rsidRPr="00975033">
        <w:rPr>
          <w:rFonts w:ascii="Verdana" w:hAnsi="Verdana"/>
          <w:sz w:val="20"/>
          <w:szCs w:val="20"/>
          <w:lang w:val="es-ES"/>
        </w:rPr>
        <w:t>,</w:t>
      </w:r>
      <w:r w:rsidR="004F456B" w:rsidRPr="00975033">
        <w:rPr>
          <w:rFonts w:ascii="Verdana" w:hAnsi="Verdana"/>
          <w:sz w:val="20"/>
          <w:szCs w:val="20"/>
          <w:lang w:val="es-ES"/>
        </w:rPr>
        <w:t xml:space="preserve"> </w:t>
      </w:r>
      <w:r w:rsidR="00A104E5" w:rsidRPr="00975033">
        <w:rPr>
          <w:rFonts w:ascii="Verdana" w:hAnsi="Verdana"/>
          <w:sz w:val="20"/>
          <w:szCs w:val="20"/>
          <w:lang w:val="es-ES"/>
        </w:rPr>
        <w:t xml:space="preserve">en </w:t>
      </w:r>
      <w:r w:rsidR="004F456B" w:rsidRPr="00975033">
        <w:rPr>
          <w:rFonts w:ascii="Verdana" w:hAnsi="Verdana"/>
          <w:sz w:val="20"/>
          <w:szCs w:val="20"/>
          <w:lang w:val="es-ES"/>
        </w:rPr>
        <w:t>la sentencia</w:t>
      </w:r>
      <w:r w:rsidR="00936F63" w:rsidRPr="00975033">
        <w:rPr>
          <w:rFonts w:ascii="Verdana" w:hAnsi="Verdana"/>
          <w:sz w:val="20"/>
          <w:szCs w:val="20"/>
          <w:lang w:val="es-ES"/>
        </w:rPr>
        <w:t xml:space="preserve"> </w:t>
      </w:r>
      <w:r w:rsidR="00A104E5" w:rsidRPr="00975033">
        <w:rPr>
          <w:rFonts w:ascii="Verdana" w:hAnsi="Verdana"/>
          <w:sz w:val="20"/>
          <w:szCs w:val="20"/>
          <w:lang w:val="es-ES"/>
        </w:rPr>
        <w:t xml:space="preserve">se </w:t>
      </w:r>
      <w:r w:rsidR="00936F63" w:rsidRPr="00975033">
        <w:rPr>
          <w:rFonts w:ascii="Verdana" w:hAnsi="Verdana"/>
          <w:sz w:val="20"/>
          <w:szCs w:val="20"/>
          <w:lang w:val="es-ES"/>
        </w:rPr>
        <w:t>orden</w:t>
      </w:r>
      <w:r w:rsidR="00A104E5" w:rsidRPr="00975033">
        <w:rPr>
          <w:rFonts w:ascii="Verdana" w:hAnsi="Verdana"/>
          <w:sz w:val="20"/>
          <w:szCs w:val="20"/>
          <w:lang w:val="es-ES"/>
        </w:rPr>
        <w:t>ó</w:t>
      </w:r>
      <w:r w:rsidR="00936F63" w:rsidRPr="00975033">
        <w:rPr>
          <w:rFonts w:ascii="Verdana" w:hAnsi="Verdana"/>
          <w:sz w:val="20"/>
          <w:szCs w:val="20"/>
          <w:lang w:val="es-ES"/>
        </w:rPr>
        <w:t xml:space="preserve"> al Estado diseñar y ejecutar un programa de desarrollo socioeconómico especialmente destinado para la población de aquella ciudad</w:t>
      </w:r>
      <w:r w:rsidR="003F3BD9" w:rsidRPr="00975033">
        <w:rPr>
          <w:rFonts w:ascii="Verdana" w:hAnsi="Verdana"/>
          <w:sz w:val="20"/>
          <w:szCs w:val="20"/>
          <w:lang w:val="es-ES"/>
        </w:rPr>
        <w:t>.</w:t>
      </w:r>
      <w:r w:rsidR="00A104E5" w:rsidRPr="00975033">
        <w:rPr>
          <w:rFonts w:ascii="Verdana" w:hAnsi="Verdana"/>
          <w:sz w:val="20"/>
          <w:szCs w:val="20"/>
          <w:lang w:val="es-ES"/>
        </w:rPr>
        <w:t xml:space="preserve"> La Corte determinó que ese programa, considerando las principales actividades económicas de la región y la eventual necesidad de incentivar otras actividades, debe traer soluciones </w:t>
      </w:r>
      <w:r w:rsidR="00037787" w:rsidRPr="00975033">
        <w:rPr>
          <w:rFonts w:ascii="Verdana" w:hAnsi="Verdana"/>
          <w:sz w:val="20"/>
          <w:szCs w:val="20"/>
          <w:lang w:val="es-ES"/>
        </w:rPr>
        <w:t xml:space="preserve">a la falta de alternativas de trabajo, </w:t>
      </w:r>
      <w:r w:rsidR="00D42CC8" w:rsidRPr="00975033">
        <w:rPr>
          <w:rFonts w:ascii="Verdana" w:hAnsi="Verdana"/>
          <w:sz w:val="20"/>
          <w:szCs w:val="20"/>
          <w:lang w:val="es-ES"/>
        </w:rPr>
        <w:t>“</w:t>
      </w:r>
      <w:r w:rsidR="00037787" w:rsidRPr="00975033">
        <w:rPr>
          <w:rFonts w:ascii="Verdana" w:hAnsi="Verdana"/>
          <w:sz w:val="20"/>
          <w:szCs w:val="20"/>
          <w:lang w:val="es-ES"/>
        </w:rPr>
        <w:t>especialmente para las y los jóvenes mayores de 16 años y mujeres afrodescendientes que viven en condición de pobreza</w:t>
      </w:r>
      <w:r w:rsidR="00D42CC8" w:rsidRPr="00975033">
        <w:rPr>
          <w:rFonts w:ascii="Verdana" w:hAnsi="Verdana"/>
          <w:sz w:val="20"/>
          <w:szCs w:val="20"/>
          <w:lang w:val="es-ES"/>
        </w:rPr>
        <w:t>”</w:t>
      </w:r>
      <w:r w:rsidR="00037787" w:rsidRPr="00975033">
        <w:rPr>
          <w:rFonts w:ascii="Verdana" w:hAnsi="Verdana"/>
          <w:sz w:val="20"/>
          <w:szCs w:val="20"/>
          <w:lang w:val="es-ES"/>
        </w:rPr>
        <w:t>.</w:t>
      </w:r>
      <w:r w:rsidR="00A104E5" w:rsidRPr="00975033">
        <w:rPr>
          <w:rFonts w:ascii="Verdana" w:hAnsi="Verdana"/>
          <w:sz w:val="20"/>
          <w:szCs w:val="20"/>
          <w:lang w:val="es-ES"/>
        </w:rPr>
        <w:t xml:space="preserve"> </w:t>
      </w:r>
      <w:r w:rsidR="00037787" w:rsidRPr="00975033">
        <w:rPr>
          <w:rFonts w:ascii="Verdana" w:hAnsi="Verdana"/>
          <w:sz w:val="20"/>
          <w:szCs w:val="20"/>
          <w:lang w:val="es-ES"/>
        </w:rPr>
        <w:t xml:space="preserve"> </w:t>
      </w:r>
      <w:r w:rsidR="006735B9" w:rsidRPr="00975033">
        <w:rPr>
          <w:rFonts w:ascii="Verdana" w:hAnsi="Verdana"/>
          <w:sz w:val="20"/>
          <w:szCs w:val="20"/>
          <w:lang w:val="es-ES"/>
        </w:rPr>
        <w:t>Además, estableció que e</w:t>
      </w:r>
      <w:r w:rsidR="00037787" w:rsidRPr="00975033">
        <w:rPr>
          <w:rFonts w:ascii="Verdana" w:hAnsi="Verdana"/>
          <w:sz w:val="20"/>
          <w:szCs w:val="20"/>
          <w:lang w:val="es-ES"/>
        </w:rPr>
        <w:t>l programa debe incluir</w:t>
      </w:r>
      <w:r w:rsidR="006735B9" w:rsidRPr="00975033">
        <w:rPr>
          <w:rFonts w:ascii="Verdana" w:hAnsi="Verdana"/>
          <w:sz w:val="20"/>
          <w:szCs w:val="20"/>
          <w:lang w:val="es-ES"/>
        </w:rPr>
        <w:t xml:space="preserve"> </w:t>
      </w:r>
      <w:r w:rsidR="00D42CC8" w:rsidRPr="00975033">
        <w:rPr>
          <w:rFonts w:ascii="Verdana" w:hAnsi="Verdana"/>
          <w:sz w:val="20"/>
          <w:szCs w:val="20"/>
          <w:lang w:val="es-ES"/>
        </w:rPr>
        <w:t>“</w:t>
      </w:r>
      <w:r w:rsidR="00037787" w:rsidRPr="00975033">
        <w:rPr>
          <w:rFonts w:ascii="Verdana" w:hAnsi="Verdana"/>
          <w:sz w:val="20"/>
          <w:szCs w:val="20"/>
          <w:lang w:val="es-ES"/>
        </w:rPr>
        <w:t>cursos de capacitación profesional y/o técnicos que permitan la inserción de trabajadoras y trabajadores en otros mercados laborales</w:t>
      </w:r>
      <w:r w:rsidR="00D42CC8" w:rsidRPr="00975033">
        <w:rPr>
          <w:rFonts w:ascii="Verdana" w:hAnsi="Verdana"/>
          <w:sz w:val="20"/>
          <w:szCs w:val="20"/>
          <w:lang w:val="es-ES"/>
        </w:rPr>
        <w:t xml:space="preserve"> […]</w:t>
      </w:r>
      <w:r w:rsidR="00037787" w:rsidRPr="00975033">
        <w:rPr>
          <w:rFonts w:ascii="Verdana" w:hAnsi="Verdana"/>
          <w:sz w:val="20"/>
          <w:szCs w:val="20"/>
          <w:lang w:val="es-ES"/>
        </w:rPr>
        <w:t>; medidas orientadas a enfrentar la deserción escolar causada por el ingreso de menores de edad al mercado laboral, y campañas de sensibilización en materia de derechos laborales y riesgos inherentes a la fabricación de fuegos artificiales</w:t>
      </w:r>
      <w:r w:rsidR="00D42CC8" w:rsidRPr="00975033">
        <w:rPr>
          <w:rFonts w:ascii="Verdana" w:hAnsi="Verdana"/>
          <w:sz w:val="20"/>
          <w:szCs w:val="20"/>
          <w:lang w:val="es-ES"/>
        </w:rPr>
        <w:t>”</w:t>
      </w:r>
      <w:r w:rsidR="00B77177" w:rsidRPr="00975033">
        <w:rPr>
          <w:rFonts w:ascii="Verdana" w:hAnsi="Verdana"/>
          <w:sz w:val="20"/>
          <w:szCs w:val="20"/>
          <w:vertAlign w:val="superscript"/>
          <w:lang w:val="es-ES"/>
        </w:rPr>
        <w:footnoteReference w:id="5"/>
      </w:r>
      <w:r w:rsidR="00936F63" w:rsidRPr="00975033">
        <w:rPr>
          <w:rFonts w:ascii="Verdana" w:hAnsi="Verdana"/>
          <w:sz w:val="20"/>
          <w:szCs w:val="20"/>
          <w:lang w:val="es-ES"/>
        </w:rPr>
        <w:t xml:space="preserve">. </w:t>
      </w:r>
    </w:p>
    <w:p w14:paraId="67C99194" w14:textId="77777777" w:rsidR="00176524" w:rsidRPr="00975033" w:rsidRDefault="00176524" w:rsidP="00975033">
      <w:pPr>
        <w:snapToGrid w:val="0"/>
        <w:jc w:val="both"/>
        <w:rPr>
          <w:rFonts w:ascii="Verdana" w:hAnsi="Verdana"/>
          <w:sz w:val="20"/>
          <w:szCs w:val="20"/>
          <w:lang w:val="es-ES"/>
        </w:rPr>
      </w:pPr>
    </w:p>
    <w:p w14:paraId="3AE2D294" w14:textId="1A2A8FE2" w:rsidR="00176524" w:rsidRPr="00975033" w:rsidRDefault="00504650"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Teniendo en cuenta lo anterior</w:t>
      </w:r>
      <w:r w:rsidR="004A1232">
        <w:rPr>
          <w:rFonts w:ascii="Verdana" w:hAnsi="Verdana"/>
          <w:sz w:val="20"/>
          <w:szCs w:val="20"/>
          <w:lang w:val="es-ES"/>
        </w:rPr>
        <w:t>, así como</w:t>
      </w:r>
      <w:r w:rsidR="005A6705" w:rsidRPr="00975033">
        <w:rPr>
          <w:rFonts w:ascii="Verdana" w:hAnsi="Verdana"/>
          <w:sz w:val="20"/>
          <w:szCs w:val="20"/>
          <w:lang w:val="es-ES"/>
        </w:rPr>
        <w:t xml:space="preserve"> la medida de reparación</w:t>
      </w:r>
      <w:r w:rsidR="004A1232">
        <w:rPr>
          <w:rFonts w:ascii="Verdana" w:hAnsi="Verdana"/>
          <w:sz w:val="20"/>
          <w:szCs w:val="20"/>
          <w:lang w:val="es-ES"/>
        </w:rPr>
        <w:t xml:space="preserve"> dictada</w:t>
      </w:r>
      <w:r w:rsidR="005A6705" w:rsidRPr="00975033">
        <w:rPr>
          <w:rFonts w:ascii="Verdana" w:hAnsi="Verdana"/>
          <w:sz w:val="20"/>
          <w:szCs w:val="20"/>
          <w:lang w:val="es-ES"/>
        </w:rPr>
        <w:t xml:space="preserve"> para </w:t>
      </w:r>
      <w:r w:rsidR="00AE4789">
        <w:rPr>
          <w:rFonts w:ascii="Verdana" w:hAnsi="Verdana"/>
          <w:sz w:val="20"/>
          <w:szCs w:val="20"/>
          <w:lang w:val="es-ES"/>
        </w:rPr>
        <w:t>que el Estado de Brasil pued</w:t>
      </w:r>
      <w:r w:rsidR="00811545">
        <w:rPr>
          <w:rFonts w:ascii="Verdana" w:hAnsi="Verdana"/>
          <w:sz w:val="20"/>
          <w:szCs w:val="20"/>
          <w:lang w:val="es-ES"/>
        </w:rPr>
        <w:t>a</w:t>
      </w:r>
      <w:r w:rsidR="00AE4789">
        <w:rPr>
          <w:rFonts w:ascii="Verdana" w:hAnsi="Verdana"/>
          <w:sz w:val="20"/>
          <w:szCs w:val="20"/>
          <w:lang w:val="es-ES"/>
        </w:rPr>
        <w:t xml:space="preserve"> emprender con medidas eficaces tendientes a solucionar y superar, en el mediano y largo plazo, las condiciones y el </w:t>
      </w:r>
      <w:r w:rsidR="005A6705" w:rsidRPr="00975033">
        <w:rPr>
          <w:rFonts w:ascii="Verdana" w:hAnsi="Verdana"/>
          <w:sz w:val="20"/>
          <w:szCs w:val="20"/>
          <w:lang w:val="es-ES"/>
        </w:rPr>
        <w:t xml:space="preserve">contexto en que estaban </w:t>
      </w:r>
      <w:r w:rsidR="00D83756" w:rsidRPr="00975033">
        <w:rPr>
          <w:rFonts w:ascii="Verdana" w:hAnsi="Verdana"/>
          <w:sz w:val="20"/>
          <w:szCs w:val="20"/>
          <w:lang w:val="es-ES"/>
        </w:rPr>
        <w:t xml:space="preserve">insertas </w:t>
      </w:r>
      <w:r w:rsidR="005A6705" w:rsidRPr="00975033">
        <w:rPr>
          <w:rFonts w:ascii="Verdana" w:hAnsi="Verdana"/>
          <w:sz w:val="20"/>
          <w:szCs w:val="20"/>
          <w:lang w:val="es-ES"/>
        </w:rPr>
        <w:t>las trabajadoras y trabajadores de la fábrica de fuegos</w:t>
      </w:r>
      <w:r w:rsidR="00C51EDB">
        <w:rPr>
          <w:rFonts w:ascii="Verdana" w:hAnsi="Verdana"/>
          <w:sz w:val="20"/>
          <w:szCs w:val="20"/>
          <w:lang w:val="es-ES"/>
        </w:rPr>
        <w:t>;</w:t>
      </w:r>
      <w:r w:rsidR="005A6705" w:rsidRPr="00975033">
        <w:rPr>
          <w:rFonts w:ascii="Verdana" w:hAnsi="Verdana"/>
          <w:sz w:val="20"/>
          <w:szCs w:val="20"/>
          <w:lang w:val="es-ES"/>
        </w:rPr>
        <w:t xml:space="preserve"> </w:t>
      </w:r>
      <w:r w:rsidR="00D83756" w:rsidRPr="00975033">
        <w:rPr>
          <w:rFonts w:ascii="Verdana" w:hAnsi="Verdana"/>
          <w:sz w:val="20"/>
          <w:szCs w:val="20"/>
          <w:lang w:val="es-ES"/>
        </w:rPr>
        <w:t>situación</w:t>
      </w:r>
      <w:r w:rsidR="00AE4789">
        <w:rPr>
          <w:rFonts w:ascii="Verdana" w:hAnsi="Verdana"/>
          <w:sz w:val="20"/>
          <w:szCs w:val="20"/>
          <w:lang w:val="es-ES"/>
        </w:rPr>
        <w:t xml:space="preserve"> y condiciones, que por otro lado, </w:t>
      </w:r>
      <w:r w:rsidR="005A6705" w:rsidRPr="00975033">
        <w:rPr>
          <w:rFonts w:ascii="Verdana" w:hAnsi="Verdana"/>
          <w:sz w:val="20"/>
          <w:szCs w:val="20"/>
          <w:lang w:val="es-ES"/>
        </w:rPr>
        <w:t>persiste</w:t>
      </w:r>
      <w:r w:rsidR="00AE4789">
        <w:rPr>
          <w:rFonts w:ascii="Verdana" w:hAnsi="Verdana"/>
          <w:sz w:val="20"/>
          <w:szCs w:val="20"/>
          <w:lang w:val="es-ES"/>
        </w:rPr>
        <w:t>n</w:t>
      </w:r>
      <w:r w:rsidR="001D62DC" w:rsidRPr="00975033">
        <w:rPr>
          <w:rFonts w:ascii="Verdana" w:hAnsi="Verdana"/>
          <w:sz w:val="20"/>
          <w:szCs w:val="20"/>
          <w:lang w:val="es-ES"/>
        </w:rPr>
        <w:t xml:space="preserve"> en la </w:t>
      </w:r>
      <w:r w:rsidR="00AE4789">
        <w:rPr>
          <w:rFonts w:ascii="Verdana" w:hAnsi="Verdana"/>
          <w:sz w:val="20"/>
          <w:szCs w:val="20"/>
          <w:lang w:val="es-ES"/>
        </w:rPr>
        <w:t xml:space="preserve">zona </w:t>
      </w:r>
      <w:r w:rsidR="001D62DC" w:rsidRPr="00975033">
        <w:rPr>
          <w:rFonts w:ascii="Verdana" w:hAnsi="Verdana"/>
          <w:sz w:val="20"/>
          <w:szCs w:val="20"/>
          <w:lang w:val="es-ES"/>
        </w:rPr>
        <w:t>de los hechos</w:t>
      </w:r>
      <w:r w:rsidR="005A6705" w:rsidRPr="00975033">
        <w:rPr>
          <w:rFonts w:ascii="Verdana" w:hAnsi="Verdana"/>
          <w:sz w:val="20"/>
          <w:szCs w:val="20"/>
          <w:lang w:val="es-ES"/>
        </w:rPr>
        <w:t>, y</w:t>
      </w:r>
      <w:r w:rsidR="00AE4789">
        <w:rPr>
          <w:rFonts w:ascii="Verdana" w:hAnsi="Verdana"/>
          <w:sz w:val="20"/>
          <w:szCs w:val="20"/>
          <w:lang w:val="es-ES"/>
        </w:rPr>
        <w:t xml:space="preserve">, con </w:t>
      </w:r>
      <w:r w:rsidR="00AE4789">
        <w:rPr>
          <w:rFonts w:ascii="Verdana" w:hAnsi="Verdana"/>
          <w:sz w:val="20"/>
          <w:szCs w:val="20"/>
          <w:lang w:val="es-ES"/>
        </w:rPr>
        <w:lastRenderedPageBreak/>
        <w:t xml:space="preserve">el propósito de </w:t>
      </w:r>
      <w:r w:rsidR="005A6705" w:rsidRPr="00975033">
        <w:rPr>
          <w:rFonts w:ascii="Verdana" w:hAnsi="Verdana"/>
          <w:sz w:val="20"/>
          <w:szCs w:val="20"/>
          <w:lang w:val="es-ES"/>
        </w:rPr>
        <w:t xml:space="preserve">evitar que violaciones como las </w:t>
      </w:r>
      <w:r w:rsidR="002D3C4C" w:rsidRPr="00975033">
        <w:rPr>
          <w:rFonts w:ascii="Verdana" w:hAnsi="Verdana"/>
          <w:sz w:val="20"/>
          <w:szCs w:val="20"/>
          <w:lang w:val="es-ES"/>
        </w:rPr>
        <w:t>cometidas</w:t>
      </w:r>
      <w:r w:rsidR="005A6705" w:rsidRPr="00975033">
        <w:rPr>
          <w:rFonts w:ascii="Verdana" w:hAnsi="Verdana"/>
          <w:sz w:val="20"/>
          <w:szCs w:val="20"/>
          <w:lang w:val="es-ES"/>
        </w:rPr>
        <w:t xml:space="preserve"> en el caso</w:t>
      </w:r>
      <w:r w:rsidR="00C51EDB">
        <w:rPr>
          <w:rFonts w:ascii="Verdana" w:hAnsi="Verdana"/>
          <w:sz w:val="20"/>
          <w:szCs w:val="20"/>
          <w:lang w:val="es-ES"/>
        </w:rPr>
        <w:t xml:space="preserve"> </w:t>
      </w:r>
      <w:r w:rsidR="005A6705" w:rsidRPr="00975033">
        <w:rPr>
          <w:rFonts w:ascii="Verdana" w:hAnsi="Verdana"/>
          <w:sz w:val="20"/>
          <w:szCs w:val="20"/>
          <w:lang w:val="es-ES"/>
        </w:rPr>
        <w:t>vuelvan a repetirse</w:t>
      </w:r>
      <w:r w:rsidR="00C51EDB">
        <w:rPr>
          <w:rFonts w:ascii="Verdana" w:hAnsi="Verdana"/>
          <w:sz w:val="20"/>
          <w:szCs w:val="20"/>
          <w:lang w:val="es-ES"/>
        </w:rPr>
        <w:t>,</w:t>
      </w:r>
      <w:r w:rsidR="00176524" w:rsidRPr="00975033">
        <w:rPr>
          <w:rFonts w:ascii="Verdana" w:hAnsi="Verdana"/>
          <w:sz w:val="20"/>
          <w:szCs w:val="20"/>
          <w:lang w:val="es-ES"/>
        </w:rPr>
        <w:t xml:space="preserve"> emito e</w:t>
      </w:r>
      <w:r w:rsidR="00C51EDB">
        <w:rPr>
          <w:rFonts w:ascii="Verdana" w:hAnsi="Verdana"/>
          <w:sz w:val="20"/>
          <w:szCs w:val="20"/>
          <w:lang w:val="es-ES"/>
        </w:rPr>
        <w:t>l presente voto concurrente</w:t>
      </w:r>
      <w:r w:rsidR="00176524" w:rsidRPr="00975033">
        <w:rPr>
          <w:rFonts w:ascii="Verdana" w:hAnsi="Verdana"/>
          <w:sz w:val="20"/>
          <w:szCs w:val="20"/>
          <w:lang w:val="es-ES"/>
        </w:rPr>
        <w:t xml:space="preserve"> con el objetivo de</w:t>
      </w:r>
      <w:r w:rsidR="00C51EDB">
        <w:rPr>
          <w:rFonts w:ascii="Verdana" w:hAnsi="Verdana"/>
          <w:sz w:val="20"/>
          <w:szCs w:val="20"/>
          <w:lang w:val="es-ES"/>
        </w:rPr>
        <w:t xml:space="preserve"> reforzar la </w:t>
      </w:r>
      <w:r w:rsidR="00D8626D">
        <w:rPr>
          <w:rFonts w:ascii="Verdana" w:hAnsi="Verdana"/>
          <w:sz w:val="20"/>
          <w:szCs w:val="20"/>
          <w:lang w:val="es-ES"/>
        </w:rPr>
        <w:t>responsabilidad</w:t>
      </w:r>
      <w:r w:rsidR="00C51EDB">
        <w:rPr>
          <w:rFonts w:ascii="Verdana" w:hAnsi="Verdana"/>
          <w:sz w:val="20"/>
          <w:szCs w:val="20"/>
          <w:lang w:val="es-ES"/>
        </w:rPr>
        <w:t xml:space="preserve"> que tiene el Estado del Brasil y sus servidores públicos</w:t>
      </w:r>
      <w:r w:rsidR="00EA795F">
        <w:rPr>
          <w:rFonts w:ascii="Verdana" w:hAnsi="Verdana"/>
          <w:sz w:val="20"/>
          <w:szCs w:val="20"/>
          <w:lang w:val="es-ES"/>
        </w:rPr>
        <w:t xml:space="preserve">, particularmente en los respectivos niveles gubernamentales </w:t>
      </w:r>
      <w:r w:rsidR="00C51EDB">
        <w:rPr>
          <w:rFonts w:ascii="Verdana" w:hAnsi="Verdana"/>
          <w:sz w:val="20"/>
          <w:szCs w:val="20"/>
          <w:lang w:val="es-ES"/>
        </w:rPr>
        <w:t>concernidos en la implementación y ejecución de la sentencia y las medidas de reparación,</w:t>
      </w:r>
      <w:r w:rsidR="00EA795F">
        <w:rPr>
          <w:rFonts w:ascii="Verdana" w:hAnsi="Verdana"/>
          <w:sz w:val="20"/>
          <w:szCs w:val="20"/>
          <w:lang w:val="es-ES"/>
        </w:rPr>
        <w:t xml:space="preserve"> respecto de la obligación convencional d</w:t>
      </w:r>
      <w:r w:rsidR="00EA795F" w:rsidRPr="00975033">
        <w:rPr>
          <w:rFonts w:ascii="Verdana" w:hAnsi="Verdana"/>
          <w:sz w:val="20"/>
          <w:szCs w:val="20"/>
          <w:lang w:val="es-ES"/>
        </w:rPr>
        <w:t>e observar</w:t>
      </w:r>
      <w:r w:rsidR="00EA795F">
        <w:rPr>
          <w:rFonts w:ascii="Verdana" w:hAnsi="Verdana"/>
          <w:sz w:val="20"/>
          <w:szCs w:val="20"/>
          <w:lang w:val="es-ES"/>
        </w:rPr>
        <w:t xml:space="preserve"> e implementar </w:t>
      </w:r>
      <w:r w:rsidR="00EA795F" w:rsidRPr="00975033">
        <w:rPr>
          <w:rFonts w:ascii="Verdana" w:hAnsi="Verdana"/>
          <w:sz w:val="20"/>
          <w:szCs w:val="20"/>
          <w:lang w:val="es-ES"/>
        </w:rPr>
        <w:t>el principio de progresividad y no regresividad en materia de derechos económicos, sociales</w:t>
      </w:r>
      <w:r w:rsidR="00EA795F">
        <w:rPr>
          <w:rFonts w:ascii="Verdana" w:hAnsi="Verdana"/>
          <w:sz w:val="20"/>
          <w:szCs w:val="20"/>
          <w:lang w:val="es-ES"/>
        </w:rPr>
        <w:t xml:space="preserve">, </w:t>
      </w:r>
      <w:r w:rsidR="00EA795F" w:rsidRPr="00975033">
        <w:rPr>
          <w:rFonts w:ascii="Verdana" w:hAnsi="Verdana"/>
          <w:sz w:val="20"/>
          <w:szCs w:val="20"/>
          <w:lang w:val="es-ES"/>
        </w:rPr>
        <w:t>culturales</w:t>
      </w:r>
      <w:r w:rsidR="00EA795F">
        <w:rPr>
          <w:rFonts w:ascii="Verdana" w:hAnsi="Verdana"/>
          <w:sz w:val="20"/>
          <w:szCs w:val="20"/>
          <w:lang w:val="es-ES"/>
        </w:rPr>
        <w:t xml:space="preserve"> y ambientales.</w:t>
      </w:r>
      <w:r w:rsidR="00C51EDB">
        <w:rPr>
          <w:rFonts w:ascii="Verdana" w:hAnsi="Verdana"/>
          <w:sz w:val="20"/>
          <w:szCs w:val="20"/>
          <w:lang w:val="es-ES"/>
        </w:rPr>
        <w:t xml:space="preserve"> </w:t>
      </w:r>
      <w:r w:rsidR="006C6C4F">
        <w:rPr>
          <w:rFonts w:ascii="Verdana" w:hAnsi="Verdana"/>
          <w:sz w:val="20"/>
          <w:szCs w:val="20"/>
          <w:lang w:val="es-ES"/>
        </w:rPr>
        <w:t>Con este propósito</w:t>
      </w:r>
      <w:r w:rsidR="00314130">
        <w:rPr>
          <w:rFonts w:ascii="Verdana" w:hAnsi="Verdana"/>
          <w:sz w:val="20"/>
          <w:szCs w:val="20"/>
          <w:lang w:val="es-ES"/>
        </w:rPr>
        <w:t>,</w:t>
      </w:r>
      <w:r w:rsidR="006C6C4F">
        <w:rPr>
          <w:rFonts w:ascii="Verdana" w:hAnsi="Verdana"/>
          <w:sz w:val="20"/>
          <w:szCs w:val="20"/>
          <w:lang w:val="es-ES"/>
        </w:rPr>
        <w:t xml:space="preserve"> revisare la</w:t>
      </w:r>
      <w:r w:rsidR="000104B4" w:rsidRPr="00975033">
        <w:rPr>
          <w:rFonts w:ascii="Verdana" w:hAnsi="Verdana"/>
          <w:sz w:val="20"/>
          <w:szCs w:val="20"/>
          <w:lang w:val="es-ES"/>
        </w:rPr>
        <w:t xml:space="preserve"> Enmienda a la Constitución de Brasil N</w:t>
      </w:r>
      <w:r w:rsidR="000104B4" w:rsidRPr="00975033">
        <w:rPr>
          <w:rFonts w:ascii="Verdana" w:hAnsi="Verdana"/>
          <w:sz w:val="20"/>
          <w:szCs w:val="20"/>
          <w:vertAlign w:val="superscript"/>
          <w:lang w:val="es-ES"/>
        </w:rPr>
        <w:t>o</w:t>
      </w:r>
      <w:r w:rsidR="000104B4" w:rsidRPr="00975033">
        <w:rPr>
          <w:rFonts w:ascii="Verdana" w:hAnsi="Verdana"/>
          <w:sz w:val="20"/>
          <w:szCs w:val="20"/>
          <w:lang w:val="es-ES"/>
        </w:rPr>
        <w:t>. 95</w:t>
      </w:r>
      <w:r w:rsidR="000104B4" w:rsidRPr="00975033">
        <w:rPr>
          <w:rFonts w:ascii="Verdana" w:hAnsi="Verdana"/>
          <w:sz w:val="20"/>
          <w:szCs w:val="20"/>
          <w:vertAlign w:val="superscript"/>
          <w:lang w:val="es-ES"/>
        </w:rPr>
        <w:footnoteReference w:id="6"/>
      </w:r>
      <w:r w:rsidR="000104B4" w:rsidRPr="00975033">
        <w:rPr>
          <w:rFonts w:ascii="Verdana" w:hAnsi="Verdana"/>
          <w:sz w:val="20"/>
          <w:szCs w:val="20"/>
          <w:lang w:val="es-ES"/>
        </w:rPr>
        <w:t>,</w:t>
      </w:r>
      <w:r w:rsidR="006C6C4F">
        <w:rPr>
          <w:rFonts w:ascii="Verdana" w:hAnsi="Verdana"/>
          <w:sz w:val="20"/>
          <w:szCs w:val="20"/>
          <w:lang w:val="es-ES"/>
        </w:rPr>
        <w:t xml:space="preserve"> y, en las conclusiones, argumentaré porque </w:t>
      </w:r>
      <w:r w:rsidR="008822BE">
        <w:rPr>
          <w:rFonts w:ascii="Verdana" w:hAnsi="Verdana"/>
          <w:sz w:val="20"/>
          <w:szCs w:val="20"/>
          <w:lang w:val="es-ES"/>
        </w:rPr>
        <w:t>la misma, desde un enfoque de convencionalidad,</w:t>
      </w:r>
      <w:r w:rsidR="006C6C4F">
        <w:rPr>
          <w:rFonts w:ascii="Verdana" w:hAnsi="Verdana"/>
          <w:sz w:val="20"/>
          <w:szCs w:val="20"/>
          <w:lang w:val="es-ES"/>
        </w:rPr>
        <w:t xml:space="preserve"> </w:t>
      </w:r>
      <w:r w:rsidR="008822BE">
        <w:rPr>
          <w:rFonts w:ascii="Verdana" w:hAnsi="Verdana"/>
          <w:sz w:val="20"/>
          <w:szCs w:val="20"/>
          <w:lang w:val="es-ES"/>
        </w:rPr>
        <w:t>debe ser interpretada conforme a los precedentes y jurisprudencia interamericana y</w:t>
      </w:r>
      <w:r w:rsidR="00811545">
        <w:rPr>
          <w:rFonts w:ascii="Verdana" w:hAnsi="Verdana"/>
          <w:sz w:val="20"/>
          <w:szCs w:val="20"/>
          <w:lang w:val="es-ES"/>
        </w:rPr>
        <w:t>,</w:t>
      </w:r>
      <w:r w:rsidR="008822BE">
        <w:rPr>
          <w:rFonts w:ascii="Verdana" w:hAnsi="Verdana"/>
          <w:sz w:val="20"/>
          <w:szCs w:val="20"/>
          <w:lang w:val="es-ES"/>
        </w:rPr>
        <w:t xml:space="preserve"> por lo tanto</w:t>
      </w:r>
      <w:r w:rsidR="00811545">
        <w:rPr>
          <w:rFonts w:ascii="Verdana" w:hAnsi="Verdana"/>
          <w:sz w:val="20"/>
          <w:szCs w:val="20"/>
          <w:lang w:val="es-ES"/>
        </w:rPr>
        <w:t>,</w:t>
      </w:r>
      <w:r w:rsidR="008822BE">
        <w:rPr>
          <w:rFonts w:ascii="Verdana" w:hAnsi="Verdana"/>
          <w:sz w:val="20"/>
          <w:szCs w:val="20"/>
          <w:lang w:val="es-ES"/>
        </w:rPr>
        <w:t xml:space="preserve"> </w:t>
      </w:r>
      <w:r w:rsidR="006C6C4F">
        <w:rPr>
          <w:rFonts w:ascii="Verdana" w:hAnsi="Verdana"/>
          <w:sz w:val="20"/>
          <w:szCs w:val="20"/>
          <w:lang w:val="es-ES"/>
        </w:rPr>
        <w:t>no</w:t>
      </w:r>
      <w:r w:rsidR="00CA17EF" w:rsidRPr="00975033">
        <w:rPr>
          <w:rFonts w:ascii="Verdana" w:hAnsi="Verdana"/>
          <w:sz w:val="20"/>
          <w:szCs w:val="20"/>
          <w:lang w:val="es-ES"/>
        </w:rPr>
        <w:t xml:space="preserve"> </w:t>
      </w:r>
      <w:r w:rsidR="006C6C4F">
        <w:rPr>
          <w:rFonts w:ascii="Verdana" w:hAnsi="Verdana"/>
          <w:sz w:val="20"/>
          <w:szCs w:val="20"/>
          <w:lang w:val="es-ES"/>
        </w:rPr>
        <w:t>debe</w:t>
      </w:r>
      <w:r w:rsidR="00CA17EF" w:rsidRPr="00975033">
        <w:rPr>
          <w:rFonts w:ascii="Verdana" w:hAnsi="Verdana"/>
          <w:sz w:val="20"/>
          <w:szCs w:val="20"/>
          <w:lang w:val="es-ES"/>
        </w:rPr>
        <w:t xml:space="preserve"> ser </w:t>
      </w:r>
      <w:r w:rsidR="006C6C4F">
        <w:rPr>
          <w:rFonts w:ascii="Verdana" w:hAnsi="Verdana"/>
          <w:sz w:val="20"/>
          <w:szCs w:val="20"/>
          <w:lang w:val="es-ES"/>
        </w:rPr>
        <w:t xml:space="preserve">un obstáculo para </w:t>
      </w:r>
      <w:r w:rsidR="000104B4" w:rsidRPr="00975033">
        <w:rPr>
          <w:rFonts w:ascii="Verdana" w:hAnsi="Verdana"/>
          <w:sz w:val="20"/>
          <w:szCs w:val="20"/>
          <w:lang w:val="es-ES"/>
        </w:rPr>
        <w:t>el</w:t>
      </w:r>
      <w:r w:rsidR="00CA17EF" w:rsidRPr="00975033">
        <w:rPr>
          <w:rFonts w:ascii="Verdana" w:hAnsi="Verdana"/>
          <w:sz w:val="20"/>
          <w:szCs w:val="20"/>
          <w:lang w:val="es-ES"/>
        </w:rPr>
        <w:t xml:space="preserve"> cumplimiento de la medida de reparación </w:t>
      </w:r>
      <w:r w:rsidR="00CD59C3" w:rsidRPr="00975033">
        <w:rPr>
          <w:rFonts w:ascii="Verdana" w:hAnsi="Verdana"/>
          <w:sz w:val="20"/>
          <w:szCs w:val="20"/>
          <w:lang w:val="es-ES"/>
        </w:rPr>
        <w:t>ordenada</w:t>
      </w:r>
      <w:r w:rsidR="00BB1809" w:rsidRPr="00975033">
        <w:rPr>
          <w:rFonts w:ascii="Verdana" w:hAnsi="Verdana"/>
          <w:sz w:val="20"/>
          <w:szCs w:val="20"/>
          <w:lang w:val="es-ES"/>
        </w:rPr>
        <w:t>.</w:t>
      </w:r>
    </w:p>
    <w:p w14:paraId="2AB53C40" w14:textId="77777777" w:rsidR="009C5369" w:rsidRPr="00975033" w:rsidRDefault="009C5369" w:rsidP="00975033">
      <w:pPr>
        <w:snapToGrid w:val="0"/>
        <w:jc w:val="both"/>
        <w:rPr>
          <w:rFonts w:ascii="Verdana" w:hAnsi="Verdana"/>
          <w:sz w:val="20"/>
          <w:szCs w:val="20"/>
          <w:lang w:val="es-ES"/>
        </w:rPr>
      </w:pPr>
    </w:p>
    <w:p w14:paraId="05D53DD8" w14:textId="77777777" w:rsidR="00E623E0" w:rsidRPr="00975033" w:rsidRDefault="00E623E0" w:rsidP="00975033">
      <w:pPr>
        <w:pStyle w:val="Prrafodelista"/>
        <w:snapToGrid w:val="0"/>
        <w:spacing w:after="0" w:line="240" w:lineRule="auto"/>
        <w:ind w:left="0"/>
        <w:contextualSpacing w:val="0"/>
        <w:jc w:val="both"/>
        <w:rPr>
          <w:rFonts w:ascii="Verdana" w:hAnsi="Verdana"/>
          <w:sz w:val="20"/>
          <w:szCs w:val="20"/>
          <w:lang w:val="es-ES"/>
        </w:rPr>
      </w:pPr>
    </w:p>
    <w:p w14:paraId="60B22BBB" w14:textId="77777777" w:rsidR="009B1824" w:rsidRPr="00975033" w:rsidRDefault="00091DF4" w:rsidP="00975033">
      <w:pPr>
        <w:pStyle w:val="Prrafodelista"/>
        <w:numPr>
          <w:ilvl w:val="0"/>
          <w:numId w:val="7"/>
        </w:numPr>
        <w:tabs>
          <w:tab w:val="left" w:pos="709"/>
        </w:tabs>
        <w:snapToGrid w:val="0"/>
        <w:spacing w:after="0" w:line="240" w:lineRule="auto"/>
        <w:ind w:left="1417" w:hanging="357"/>
        <w:contextualSpacing w:val="0"/>
        <w:jc w:val="both"/>
        <w:rPr>
          <w:rFonts w:ascii="Verdana" w:hAnsi="Verdana"/>
          <w:b/>
          <w:sz w:val="20"/>
          <w:szCs w:val="20"/>
          <w:lang w:val="es-ES"/>
        </w:rPr>
      </w:pPr>
      <w:r w:rsidRPr="00975033">
        <w:rPr>
          <w:rFonts w:ascii="Verdana" w:hAnsi="Verdana"/>
          <w:b/>
          <w:sz w:val="20"/>
          <w:szCs w:val="20"/>
          <w:lang w:val="es-ES"/>
        </w:rPr>
        <w:t>La Enmienda Constitucional N</w:t>
      </w:r>
      <w:r w:rsidRPr="00975033">
        <w:rPr>
          <w:rFonts w:ascii="Verdana" w:hAnsi="Verdana"/>
          <w:b/>
          <w:sz w:val="20"/>
          <w:szCs w:val="20"/>
          <w:vertAlign w:val="superscript"/>
          <w:lang w:val="es-ES"/>
        </w:rPr>
        <w:t>o</w:t>
      </w:r>
      <w:r w:rsidRPr="00975033">
        <w:rPr>
          <w:rFonts w:ascii="Verdana" w:hAnsi="Verdana"/>
          <w:b/>
          <w:sz w:val="20"/>
          <w:szCs w:val="20"/>
          <w:lang w:val="es-ES"/>
        </w:rPr>
        <w:t>. 95</w:t>
      </w:r>
    </w:p>
    <w:p w14:paraId="2E44A1D7" w14:textId="77777777" w:rsidR="00091DF4" w:rsidRPr="00975033" w:rsidRDefault="00091DF4" w:rsidP="00975033">
      <w:pPr>
        <w:tabs>
          <w:tab w:val="left" w:pos="709"/>
        </w:tabs>
        <w:snapToGrid w:val="0"/>
        <w:jc w:val="both"/>
        <w:rPr>
          <w:rFonts w:ascii="Verdana" w:hAnsi="Verdana"/>
          <w:b/>
          <w:sz w:val="20"/>
          <w:szCs w:val="20"/>
          <w:lang w:val="es-ES"/>
        </w:rPr>
      </w:pPr>
    </w:p>
    <w:p w14:paraId="1A018714" w14:textId="231F04BF" w:rsidR="00091DF4" w:rsidRPr="00975033" w:rsidRDefault="00AE21FD"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cs="Arial"/>
          <w:sz w:val="20"/>
          <w:szCs w:val="20"/>
          <w:lang w:val="es-ES"/>
        </w:rPr>
        <w:t>El 16 de diciembre de 2016</w:t>
      </w:r>
      <w:r w:rsidR="009B1824" w:rsidRPr="00975033">
        <w:rPr>
          <w:rFonts w:ascii="Verdana" w:hAnsi="Verdana" w:cs="Arial"/>
          <w:sz w:val="20"/>
          <w:szCs w:val="20"/>
          <w:lang w:val="es-ES"/>
        </w:rPr>
        <w:t xml:space="preserve">, </w:t>
      </w:r>
      <w:r w:rsidR="008822BE">
        <w:rPr>
          <w:rFonts w:ascii="Verdana" w:hAnsi="Verdana" w:cs="Arial"/>
          <w:sz w:val="20"/>
          <w:szCs w:val="20"/>
          <w:lang w:val="es-ES"/>
        </w:rPr>
        <w:t>l</w:t>
      </w:r>
      <w:r w:rsidRPr="00975033">
        <w:rPr>
          <w:rFonts w:ascii="Verdana" w:hAnsi="Verdana" w:cs="Arial"/>
          <w:sz w:val="20"/>
          <w:szCs w:val="20"/>
          <w:lang w:val="es-ES"/>
        </w:rPr>
        <w:t>a propuesta del Gobierno Federal de Brasil para implementar el techo para el gasto público federal, objeto de la Propuesta de Enmienda a la Constitución de Brasil 241/55</w:t>
      </w:r>
      <w:r w:rsidRPr="00975033">
        <w:rPr>
          <w:rFonts w:ascii="Verdana" w:hAnsi="Verdana"/>
          <w:sz w:val="20"/>
          <w:szCs w:val="20"/>
          <w:vertAlign w:val="superscript"/>
          <w:lang w:val="es-ES"/>
        </w:rPr>
        <w:footnoteReference w:id="7"/>
      </w:r>
      <w:r w:rsidRPr="00975033">
        <w:rPr>
          <w:rFonts w:ascii="Verdana" w:hAnsi="Verdana"/>
          <w:sz w:val="20"/>
          <w:szCs w:val="20"/>
          <w:lang w:val="es-ES"/>
        </w:rPr>
        <w:t>,</w:t>
      </w:r>
      <w:r w:rsidRPr="00975033">
        <w:rPr>
          <w:rFonts w:ascii="Verdana" w:hAnsi="Verdana" w:cs="Arial"/>
          <w:sz w:val="20"/>
          <w:szCs w:val="20"/>
          <w:lang w:val="es-ES"/>
        </w:rPr>
        <w:t xml:space="preserve"> fue aprobada</w:t>
      </w:r>
      <w:r w:rsidR="008822BE">
        <w:rPr>
          <w:rFonts w:ascii="Verdana" w:hAnsi="Verdana" w:cs="Arial"/>
          <w:sz w:val="20"/>
          <w:szCs w:val="20"/>
          <w:lang w:val="es-ES"/>
        </w:rPr>
        <w:t xml:space="preserve"> como </w:t>
      </w:r>
      <w:r w:rsidR="00825FC0" w:rsidRPr="00975033">
        <w:rPr>
          <w:rFonts w:ascii="Verdana" w:hAnsi="Verdana" w:cs="Arial"/>
          <w:sz w:val="20"/>
          <w:szCs w:val="20"/>
          <w:lang w:val="es-ES"/>
        </w:rPr>
        <w:t>la Enmienda Constitucional N</w:t>
      </w:r>
      <w:r w:rsidR="00825FC0" w:rsidRPr="00975033">
        <w:rPr>
          <w:rFonts w:ascii="Verdana" w:hAnsi="Verdana" w:cs="Arial"/>
          <w:sz w:val="20"/>
          <w:szCs w:val="20"/>
          <w:vertAlign w:val="superscript"/>
          <w:lang w:val="es-ES"/>
        </w:rPr>
        <w:t>o</w:t>
      </w:r>
      <w:r w:rsidR="00825FC0" w:rsidRPr="00975033">
        <w:rPr>
          <w:rFonts w:ascii="Verdana" w:hAnsi="Verdana" w:cs="Arial"/>
          <w:sz w:val="20"/>
          <w:szCs w:val="20"/>
          <w:lang w:val="es-ES"/>
        </w:rPr>
        <w:t>. 95 (en adelante, “EC/95”</w:t>
      </w:r>
      <w:r w:rsidR="002A230A" w:rsidRPr="00975033">
        <w:rPr>
          <w:rFonts w:ascii="Verdana" w:hAnsi="Verdana" w:cs="Arial"/>
          <w:sz w:val="20"/>
          <w:szCs w:val="20"/>
          <w:lang w:val="es-ES"/>
        </w:rPr>
        <w:t xml:space="preserve"> o “la Enmienda”</w:t>
      </w:r>
      <w:r w:rsidR="00825FC0" w:rsidRPr="00975033">
        <w:rPr>
          <w:rFonts w:ascii="Verdana" w:hAnsi="Verdana" w:cs="Arial"/>
          <w:sz w:val="20"/>
          <w:szCs w:val="20"/>
          <w:lang w:val="es-ES"/>
        </w:rPr>
        <w:t>). La EC/95, instituyó un nuevo régimen fiscal para el Estad</w:t>
      </w:r>
      <w:r w:rsidR="00370C1D" w:rsidRPr="00975033">
        <w:rPr>
          <w:rFonts w:ascii="Verdana" w:hAnsi="Verdana" w:cs="Arial"/>
          <w:sz w:val="20"/>
          <w:szCs w:val="20"/>
          <w:lang w:val="es-ES"/>
        </w:rPr>
        <w:t>o</w:t>
      </w:r>
      <w:r w:rsidR="00825FC0" w:rsidRPr="00975033">
        <w:rPr>
          <w:rFonts w:ascii="Verdana" w:hAnsi="Verdana" w:cs="Arial"/>
          <w:sz w:val="20"/>
          <w:szCs w:val="20"/>
          <w:lang w:val="es-ES"/>
        </w:rPr>
        <w:t xml:space="preserve"> de Brasil</w:t>
      </w:r>
      <w:r w:rsidR="008822BE">
        <w:rPr>
          <w:rFonts w:ascii="Verdana" w:hAnsi="Verdana" w:cs="Arial"/>
          <w:sz w:val="20"/>
          <w:szCs w:val="20"/>
          <w:lang w:val="es-ES"/>
        </w:rPr>
        <w:t xml:space="preserve">, entró en </w:t>
      </w:r>
      <w:r w:rsidR="00825FC0" w:rsidRPr="00975033">
        <w:rPr>
          <w:rFonts w:ascii="Verdana" w:hAnsi="Verdana" w:cs="Arial"/>
          <w:sz w:val="20"/>
          <w:szCs w:val="20"/>
          <w:lang w:val="es-ES"/>
        </w:rPr>
        <w:t xml:space="preserve">vigencia en 2017 y </w:t>
      </w:r>
      <w:r w:rsidR="00860C3B">
        <w:rPr>
          <w:rFonts w:ascii="Verdana" w:hAnsi="Verdana" w:cs="Arial"/>
          <w:sz w:val="20"/>
          <w:szCs w:val="20"/>
          <w:lang w:val="es-ES"/>
        </w:rPr>
        <w:t xml:space="preserve">con un tiempo de duración que llega al </w:t>
      </w:r>
      <w:r w:rsidR="00370C1D" w:rsidRPr="00975033">
        <w:rPr>
          <w:rFonts w:ascii="Verdana" w:hAnsi="Verdana" w:cs="Arial"/>
          <w:sz w:val="20"/>
          <w:szCs w:val="20"/>
          <w:lang w:val="es-ES"/>
        </w:rPr>
        <w:t xml:space="preserve">año </w:t>
      </w:r>
      <w:r w:rsidR="00825FC0" w:rsidRPr="00975033">
        <w:rPr>
          <w:rFonts w:ascii="Verdana" w:hAnsi="Verdana" w:cs="Arial"/>
          <w:sz w:val="20"/>
          <w:szCs w:val="20"/>
          <w:lang w:val="es-ES"/>
        </w:rPr>
        <w:t>2036</w:t>
      </w:r>
      <w:r w:rsidR="00875623" w:rsidRPr="00975033">
        <w:rPr>
          <w:rFonts w:ascii="Verdana" w:hAnsi="Verdana"/>
          <w:sz w:val="20"/>
          <w:szCs w:val="20"/>
          <w:vertAlign w:val="superscript"/>
          <w:lang w:val="es-ES"/>
        </w:rPr>
        <w:footnoteReference w:id="8"/>
      </w:r>
      <w:r w:rsidR="00825FC0" w:rsidRPr="00975033">
        <w:rPr>
          <w:rFonts w:ascii="Verdana" w:hAnsi="Verdana" w:cs="Arial"/>
          <w:sz w:val="20"/>
          <w:szCs w:val="20"/>
          <w:lang w:val="es-ES"/>
        </w:rPr>
        <w:t xml:space="preserve">. </w:t>
      </w:r>
    </w:p>
    <w:p w14:paraId="47A7D92A" w14:textId="77777777" w:rsidR="000776AC" w:rsidRPr="00975033" w:rsidRDefault="000776AC" w:rsidP="00975033">
      <w:pPr>
        <w:snapToGrid w:val="0"/>
        <w:jc w:val="both"/>
        <w:rPr>
          <w:rFonts w:ascii="Verdana" w:hAnsi="Verdana"/>
          <w:sz w:val="20"/>
          <w:szCs w:val="20"/>
          <w:lang w:val="es-ES"/>
        </w:rPr>
      </w:pPr>
    </w:p>
    <w:p w14:paraId="0D43045E" w14:textId="28721E40" w:rsidR="000776AC" w:rsidRPr="00975033" w:rsidRDefault="000776AC"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cs="Arial"/>
          <w:sz w:val="20"/>
          <w:szCs w:val="20"/>
          <w:lang w:val="es-ES"/>
        </w:rPr>
        <w:t>La Propuesta de Enmienda vino acompañada de una justificación</w:t>
      </w:r>
      <w:r w:rsidR="00FA4DF8" w:rsidRPr="00975033">
        <w:rPr>
          <w:rFonts w:ascii="Verdana" w:hAnsi="Verdana"/>
          <w:sz w:val="20"/>
          <w:szCs w:val="20"/>
          <w:vertAlign w:val="superscript"/>
          <w:lang w:val="es-ES"/>
        </w:rPr>
        <w:footnoteReference w:id="9"/>
      </w:r>
      <w:r w:rsidRPr="00975033">
        <w:rPr>
          <w:rFonts w:ascii="Verdana" w:hAnsi="Verdana" w:cs="Arial"/>
          <w:sz w:val="20"/>
          <w:szCs w:val="20"/>
          <w:lang w:val="es-ES"/>
        </w:rPr>
        <w:t xml:space="preserve"> basada en </w:t>
      </w:r>
      <w:r w:rsidR="00397F63" w:rsidRPr="00975033">
        <w:rPr>
          <w:rFonts w:ascii="Verdana" w:hAnsi="Verdana" w:cs="Arial"/>
          <w:sz w:val="20"/>
          <w:szCs w:val="20"/>
          <w:lang w:val="es-ES"/>
        </w:rPr>
        <w:t>la alegada necesidad de</w:t>
      </w:r>
      <w:r w:rsidR="00D83756" w:rsidRPr="00975033">
        <w:rPr>
          <w:rFonts w:ascii="Verdana" w:hAnsi="Verdana" w:cs="Arial"/>
          <w:sz w:val="20"/>
          <w:szCs w:val="20"/>
          <w:lang w:val="es-ES"/>
        </w:rPr>
        <w:t xml:space="preserve"> impedir </w:t>
      </w:r>
      <w:r w:rsidRPr="00975033">
        <w:rPr>
          <w:rFonts w:ascii="Verdana" w:hAnsi="Verdana" w:cs="Arial"/>
          <w:sz w:val="20"/>
          <w:szCs w:val="20"/>
          <w:lang w:val="es-ES"/>
        </w:rPr>
        <w:t>el crecimiento del gasto público en el futuro, para restaurar la confianza en la sostenibilidad del gasto y la deuda pública. En ese sentido,</w:t>
      </w:r>
      <w:r w:rsidR="00FA4DF8" w:rsidRPr="00975033">
        <w:rPr>
          <w:rFonts w:ascii="Verdana" w:hAnsi="Verdana" w:cs="Arial"/>
          <w:sz w:val="20"/>
          <w:szCs w:val="20"/>
          <w:lang w:val="es-ES"/>
        </w:rPr>
        <w:t xml:space="preserve"> el fundamento alegado </w:t>
      </w:r>
      <w:r w:rsidR="00CB3134" w:rsidRPr="00975033">
        <w:rPr>
          <w:rFonts w:ascii="Verdana" w:hAnsi="Verdana" w:cs="Arial"/>
          <w:sz w:val="20"/>
          <w:szCs w:val="20"/>
          <w:lang w:val="es-ES"/>
        </w:rPr>
        <w:t>al proponer</w:t>
      </w:r>
      <w:r w:rsidRPr="00975033">
        <w:rPr>
          <w:rFonts w:ascii="Verdana" w:hAnsi="Verdana" w:cs="Arial"/>
          <w:sz w:val="20"/>
          <w:szCs w:val="20"/>
          <w:lang w:val="es-ES"/>
        </w:rPr>
        <w:t xml:space="preserve"> la EC/95 se basa en la necesidad de estabilizar el crecimiento del gasto primario, como instrumento para contener la expansión de la deuda pública</w:t>
      </w:r>
      <w:r w:rsidR="00575BD8" w:rsidRPr="00975033">
        <w:rPr>
          <w:rFonts w:ascii="Verdana" w:hAnsi="Verdana" w:cs="Arial"/>
          <w:sz w:val="20"/>
          <w:szCs w:val="20"/>
          <w:lang w:val="es-ES"/>
        </w:rPr>
        <w:t>.</w:t>
      </w:r>
      <w:r w:rsidR="00FA4DF8" w:rsidRPr="00975033">
        <w:rPr>
          <w:rFonts w:ascii="Verdana" w:hAnsi="Verdana" w:cs="Arial"/>
          <w:sz w:val="20"/>
          <w:szCs w:val="20"/>
          <w:lang w:val="es-ES"/>
        </w:rPr>
        <w:t xml:space="preserve"> Cabe citar que la justificación indica como bene</w:t>
      </w:r>
      <w:r w:rsidR="00AA7321" w:rsidRPr="00975033">
        <w:rPr>
          <w:rFonts w:ascii="Verdana" w:hAnsi="Verdana" w:cs="Arial"/>
          <w:sz w:val="20"/>
          <w:szCs w:val="20"/>
          <w:lang w:val="es-ES"/>
        </w:rPr>
        <w:t>f</w:t>
      </w:r>
      <w:r w:rsidR="00FA4DF8" w:rsidRPr="00975033">
        <w:rPr>
          <w:rFonts w:ascii="Verdana" w:hAnsi="Verdana" w:cs="Arial"/>
          <w:sz w:val="20"/>
          <w:szCs w:val="20"/>
          <w:lang w:val="es-ES"/>
        </w:rPr>
        <w:t>i</w:t>
      </w:r>
      <w:r w:rsidR="00AA7321" w:rsidRPr="00975033">
        <w:rPr>
          <w:rFonts w:ascii="Verdana" w:hAnsi="Verdana" w:cs="Arial"/>
          <w:sz w:val="20"/>
          <w:szCs w:val="20"/>
          <w:lang w:val="es-ES"/>
        </w:rPr>
        <w:t>ci</w:t>
      </w:r>
      <w:r w:rsidR="00FA4DF8" w:rsidRPr="00975033">
        <w:rPr>
          <w:rFonts w:ascii="Verdana" w:hAnsi="Verdana" w:cs="Arial"/>
          <w:sz w:val="20"/>
          <w:szCs w:val="20"/>
          <w:lang w:val="es-ES"/>
        </w:rPr>
        <w:t>os de la implementación del ajuste fiscal:</w:t>
      </w:r>
      <w:r w:rsidR="00AA7321" w:rsidRPr="00975033">
        <w:rPr>
          <w:rFonts w:ascii="Verdana" w:hAnsi="Verdana" w:cs="Arial"/>
          <w:sz w:val="20"/>
          <w:szCs w:val="20"/>
          <w:lang w:val="es-ES"/>
        </w:rPr>
        <w:t xml:space="preserve"> el aumento de la previsibilidad de la política macroeconómica y </w:t>
      </w:r>
      <w:r w:rsidR="00CB3134" w:rsidRPr="00975033">
        <w:rPr>
          <w:rFonts w:ascii="Verdana" w:hAnsi="Verdana" w:cs="Arial"/>
          <w:sz w:val="20"/>
          <w:szCs w:val="20"/>
          <w:lang w:val="es-ES"/>
        </w:rPr>
        <w:t xml:space="preserve">el </w:t>
      </w:r>
      <w:r w:rsidR="00AA7321" w:rsidRPr="00975033">
        <w:rPr>
          <w:rFonts w:ascii="Verdana" w:hAnsi="Verdana" w:cs="Arial"/>
          <w:sz w:val="20"/>
          <w:szCs w:val="20"/>
          <w:lang w:val="es-ES"/>
        </w:rPr>
        <w:t>fortalecimiento de la confianza de los agentes; la eliminación de la tendencia de crecimiento real del gasto público; y la reducción del riesgo país y consecuente apertura de espacios para la reducción estructural de las tasas de interés. Además, argumenta que “[d]</w:t>
      </w:r>
      <w:proofErr w:type="spellStart"/>
      <w:r w:rsidR="00AA7321" w:rsidRPr="00975033">
        <w:rPr>
          <w:rFonts w:ascii="Verdana" w:hAnsi="Verdana" w:cs="Arial"/>
          <w:sz w:val="20"/>
          <w:szCs w:val="20"/>
          <w:lang w:val="es-ES"/>
        </w:rPr>
        <w:t>esde</w:t>
      </w:r>
      <w:proofErr w:type="spellEnd"/>
      <w:r w:rsidR="00AA7321" w:rsidRPr="00975033">
        <w:rPr>
          <w:rFonts w:ascii="Verdana" w:hAnsi="Verdana" w:cs="Arial"/>
          <w:sz w:val="20"/>
          <w:szCs w:val="20"/>
          <w:lang w:val="es-ES"/>
        </w:rPr>
        <w:t xml:space="preserve"> una perspectiva social, la implementación de esta medida apalancará la capacidad de la economía para generar empleos e ingresos, además de estimular la aplicación más eficiente de los recursos públicos. Por tanto, contribuirá a mejorar la calidad de vida de los ciudadanos brasileños”</w:t>
      </w:r>
      <w:r w:rsidR="00AA7321" w:rsidRPr="00975033">
        <w:rPr>
          <w:rFonts w:ascii="Verdana" w:hAnsi="Verdana"/>
          <w:sz w:val="20"/>
          <w:szCs w:val="20"/>
          <w:vertAlign w:val="superscript"/>
          <w:lang w:val="es-ES"/>
        </w:rPr>
        <w:t xml:space="preserve"> </w:t>
      </w:r>
      <w:r w:rsidR="00AA7321" w:rsidRPr="00975033">
        <w:rPr>
          <w:rFonts w:ascii="Verdana" w:hAnsi="Verdana"/>
          <w:sz w:val="20"/>
          <w:szCs w:val="20"/>
          <w:vertAlign w:val="superscript"/>
          <w:lang w:val="es-ES"/>
        </w:rPr>
        <w:footnoteReference w:id="10"/>
      </w:r>
      <w:r w:rsidR="00287B97" w:rsidRPr="00975033">
        <w:rPr>
          <w:rFonts w:ascii="Verdana" w:hAnsi="Verdana"/>
          <w:sz w:val="20"/>
          <w:szCs w:val="20"/>
          <w:lang w:val="es-ES"/>
        </w:rPr>
        <w:t>.</w:t>
      </w:r>
    </w:p>
    <w:p w14:paraId="5F0B3109" w14:textId="77777777" w:rsidR="002A230A" w:rsidRPr="00975033" w:rsidRDefault="002A230A" w:rsidP="00975033">
      <w:pPr>
        <w:snapToGrid w:val="0"/>
        <w:jc w:val="both"/>
        <w:rPr>
          <w:rFonts w:ascii="Verdana" w:hAnsi="Verdana"/>
          <w:sz w:val="20"/>
          <w:szCs w:val="20"/>
          <w:lang w:val="es-ES"/>
        </w:rPr>
      </w:pPr>
    </w:p>
    <w:p w14:paraId="4B650A86" w14:textId="0DA72E18" w:rsidR="00370C1D" w:rsidRPr="00975033" w:rsidRDefault="002A230A"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cs="Arial"/>
          <w:sz w:val="20"/>
          <w:szCs w:val="20"/>
          <w:lang w:val="es-ES"/>
        </w:rPr>
        <w:t xml:space="preserve">La </w:t>
      </w:r>
      <w:r w:rsidR="00370C1D" w:rsidRPr="00975033">
        <w:rPr>
          <w:rFonts w:ascii="Verdana" w:hAnsi="Verdana" w:cs="Arial"/>
          <w:sz w:val="20"/>
          <w:szCs w:val="20"/>
          <w:lang w:val="es-ES"/>
        </w:rPr>
        <w:t>Enmienda</w:t>
      </w:r>
      <w:r w:rsidRPr="00975033">
        <w:rPr>
          <w:rFonts w:ascii="Verdana" w:hAnsi="Verdana" w:cs="Arial"/>
          <w:sz w:val="20"/>
          <w:szCs w:val="20"/>
          <w:lang w:val="es-ES"/>
        </w:rPr>
        <w:t xml:space="preserve"> establece límites individualizados, independientemente del aumento del PIB (Producto Interno Bruto), para el gasto primario del Estado. Para 2017 se fij</w:t>
      </w:r>
      <w:r w:rsidR="00370C1D" w:rsidRPr="00975033">
        <w:rPr>
          <w:rFonts w:ascii="Verdana" w:hAnsi="Verdana" w:cs="Arial"/>
          <w:sz w:val="20"/>
          <w:szCs w:val="20"/>
          <w:lang w:val="es-ES"/>
        </w:rPr>
        <w:t>ó</w:t>
      </w:r>
      <w:r w:rsidRPr="00975033">
        <w:rPr>
          <w:rFonts w:ascii="Verdana" w:hAnsi="Verdana" w:cs="Arial"/>
          <w:sz w:val="20"/>
          <w:szCs w:val="20"/>
          <w:lang w:val="es-ES"/>
        </w:rPr>
        <w:t xml:space="preserve"> un límite equivalente al gasto realizado en 2016, fijado por la inflación observada en 2016. A partir del segundo año,</w:t>
      </w:r>
      <w:r w:rsidR="00370C1D" w:rsidRPr="00975033">
        <w:rPr>
          <w:rFonts w:ascii="Verdana" w:hAnsi="Verdana" w:cs="Arial"/>
          <w:sz w:val="20"/>
          <w:szCs w:val="20"/>
          <w:lang w:val="es-ES"/>
        </w:rPr>
        <w:t xml:space="preserve"> es decir 2018,</w:t>
      </w:r>
      <w:r w:rsidRPr="00975033">
        <w:rPr>
          <w:rFonts w:ascii="Verdana" w:hAnsi="Verdana" w:cs="Arial"/>
          <w:sz w:val="20"/>
          <w:szCs w:val="20"/>
          <w:lang w:val="es-ES"/>
        </w:rPr>
        <w:t xml:space="preserve"> </w:t>
      </w:r>
      <w:r w:rsidR="00860C3B">
        <w:rPr>
          <w:rFonts w:ascii="Verdana" w:hAnsi="Verdana" w:cs="Arial"/>
          <w:sz w:val="20"/>
          <w:szCs w:val="20"/>
          <w:lang w:val="es-ES"/>
        </w:rPr>
        <w:t>para el</w:t>
      </w:r>
      <w:r w:rsidRPr="00975033">
        <w:rPr>
          <w:rFonts w:ascii="Verdana" w:hAnsi="Verdana" w:cs="Arial"/>
          <w:sz w:val="20"/>
          <w:szCs w:val="20"/>
          <w:lang w:val="es-ES"/>
        </w:rPr>
        <w:t xml:space="preserve"> límite de gasto primario se incorpor</w:t>
      </w:r>
      <w:r w:rsidR="00860C3B">
        <w:rPr>
          <w:rFonts w:ascii="Verdana" w:hAnsi="Verdana" w:cs="Arial"/>
          <w:sz w:val="20"/>
          <w:szCs w:val="20"/>
          <w:lang w:val="es-ES"/>
        </w:rPr>
        <w:t xml:space="preserve">aron </w:t>
      </w:r>
      <w:r w:rsidRPr="00975033">
        <w:rPr>
          <w:rFonts w:ascii="Verdana" w:hAnsi="Verdana" w:cs="Arial"/>
          <w:sz w:val="20"/>
          <w:szCs w:val="20"/>
          <w:lang w:val="es-ES"/>
        </w:rPr>
        <w:t xml:space="preserve">lineamientos presupuestarios y de la ley de presupuesto anual, </w:t>
      </w:r>
      <w:r w:rsidR="00860C3B">
        <w:rPr>
          <w:rFonts w:ascii="Verdana" w:hAnsi="Verdana" w:cs="Arial"/>
          <w:sz w:val="20"/>
          <w:szCs w:val="20"/>
          <w:lang w:val="es-ES"/>
        </w:rPr>
        <w:t xml:space="preserve">que </w:t>
      </w:r>
      <w:r w:rsidRPr="00975033">
        <w:rPr>
          <w:rFonts w:ascii="Verdana" w:hAnsi="Verdana" w:cs="Arial"/>
          <w:sz w:val="20"/>
          <w:szCs w:val="20"/>
          <w:lang w:val="es-ES"/>
        </w:rPr>
        <w:t>consisti</w:t>
      </w:r>
      <w:r w:rsidR="00370C1D" w:rsidRPr="00975033">
        <w:rPr>
          <w:rFonts w:ascii="Verdana" w:hAnsi="Verdana" w:cs="Arial"/>
          <w:sz w:val="20"/>
          <w:szCs w:val="20"/>
          <w:lang w:val="es-ES"/>
        </w:rPr>
        <w:t>ó</w:t>
      </w:r>
      <w:r w:rsidRPr="00975033">
        <w:rPr>
          <w:rFonts w:ascii="Verdana" w:hAnsi="Verdana" w:cs="Arial"/>
          <w:sz w:val="20"/>
          <w:szCs w:val="20"/>
          <w:lang w:val="es-ES"/>
        </w:rPr>
        <w:t xml:space="preserve"> en el valor del límite del año anterior, ajustado por la inflación del año anterior</w:t>
      </w:r>
      <w:r w:rsidR="00875623" w:rsidRPr="00975033">
        <w:rPr>
          <w:rFonts w:ascii="Verdana" w:hAnsi="Verdana"/>
          <w:sz w:val="20"/>
          <w:szCs w:val="20"/>
          <w:vertAlign w:val="superscript"/>
          <w:lang w:val="es-ES"/>
        </w:rPr>
        <w:footnoteReference w:id="11"/>
      </w:r>
      <w:r w:rsidRPr="00975033">
        <w:rPr>
          <w:rFonts w:ascii="Verdana" w:hAnsi="Verdana" w:cs="Arial"/>
          <w:sz w:val="20"/>
          <w:szCs w:val="20"/>
          <w:lang w:val="es-ES"/>
        </w:rPr>
        <w:t xml:space="preserve">. </w:t>
      </w:r>
    </w:p>
    <w:p w14:paraId="7E5191DD" w14:textId="77777777" w:rsidR="00370C1D" w:rsidRPr="00975033" w:rsidRDefault="00370C1D" w:rsidP="00975033">
      <w:pPr>
        <w:pStyle w:val="Prrafodelista"/>
        <w:snapToGrid w:val="0"/>
        <w:spacing w:after="0" w:line="240" w:lineRule="auto"/>
        <w:contextualSpacing w:val="0"/>
        <w:rPr>
          <w:rFonts w:ascii="Verdana" w:hAnsi="Verdana" w:cs="Arial"/>
          <w:sz w:val="20"/>
          <w:szCs w:val="20"/>
          <w:lang w:val="es-ES"/>
        </w:rPr>
      </w:pPr>
    </w:p>
    <w:p w14:paraId="1A55CDAA" w14:textId="0D03146B" w:rsidR="002A230A" w:rsidRPr="00975033" w:rsidRDefault="002A230A"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cs="Arial"/>
          <w:sz w:val="20"/>
          <w:szCs w:val="20"/>
          <w:lang w:val="es-ES"/>
        </w:rPr>
        <w:lastRenderedPageBreak/>
        <w:t>Las reglas</w:t>
      </w:r>
      <w:r w:rsidR="00E66BA4" w:rsidRPr="00975033">
        <w:rPr>
          <w:rFonts w:ascii="Verdana" w:hAnsi="Verdana" w:cs="Arial"/>
          <w:sz w:val="20"/>
          <w:szCs w:val="20"/>
          <w:lang w:val="es-ES"/>
        </w:rPr>
        <w:t xml:space="preserve"> establecidas por la EC/95</w:t>
      </w:r>
      <w:r w:rsidRPr="00975033">
        <w:rPr>
          <w:rFonts w:ascii="Verdana" w:hAnsi="Verdana" w:cs="Arial"/>
          <w:sz w:val="20"/>
          <w:szCs w:val="20"/>
          <w:lang w:val="es-ES"/>
        </w:rPr>
        <w:t xml:space="preserve"> no permiten, por tanto, el crecimiento del gasto público total y real por encima de la inflación, incluso si</w:t>
      </w:r>
      <w:r w:rsidR="002568B6" w:rsidRPr="00975033">
        <w:rPr>
          <w:rFonts w:ascii="Verdana" w:hAnsi="Verdana" w:cs="Arial"/>
          <w:sz w:val="20"/>
          <w:szCs w:val="20"/>
          <w:lang w:val="es-ES"/>
        </w:rPr>
        <w:t xml:space="preserve"> hay un aumento en las tasas de crecimiento económico</w:t>
      </w:r>
      <w:r w:rsidRPr="00975033">
        <w:rPr>
          <w:rFonts w:ascii="Verdana" w:hAnsi="Verdana" w:cs="Arial"/>
          <w:sz w:val="20"/>
          <w:szCs w:val="20"/>
          <w:lang w:val="es-ES"/>
        </w:rPr>
        <w:t xml:space="preserve">, lo que diferencia el caso brasileño de otras experiencias extranjeras que han adoptado el techo de gasto público. </w:t>
      </w:r>
      <w:r w:rsidR="00E66BA4" w:rsidRPr="00975033">
        <w:rPr>
          <w:rFonts w:ascii="Verdana" w:hAnsi="Verdana" w:cs="Arial"/>
          <w:sz w:val="20"/>
          <w:szCs w:val="20"/>
          <w:lang w:val="es-ES"/>
        </w:rPr>
        <w:t>De esa forma, s</w:t>
      </w:r>
      <w:r w:rsidRPr="00975033">
        <w:rPr>
          <w:rFonts w:ascii="Verdana" w:hAnsi="Verdana" w:cs="Arial"/>
          <w:sz w:val="20"/>
          <w:szCs w:val="20"/>
          <w:lang w:val="es-ES"/>
        </w:rPr>
        <w:t>ol</w:t>
      </w:r>
      <w:r w:rsidR="00E66BA4" w:rsidRPr="00975033">
        <w:rPr>
          <w:rFonts w:ascii="Verdana" w:hAnsi="Verdana" w:cs="Arial"/>
          <w:sz w:val="20"/>
          <w:szCs w:val="20"/>
          <w:lang w:val="es-ES"/>
        </w:rPr>
        <w:t xml:space="preserve">amente es </w:t>
      </w:r>
      <w:r w:rsidRPr="00975033">
        <w:rPr>
          <w:rFonts w:ascii="Verdana" w:hAnsi="Verdana" w:cs="Arial"/>
          <w:sz w:val="20"/>
          <w:szCs w:val="20"/>
          <w:lang w:val="es-ES"/>
        </w:rPr>
        <w:t xml:space="preserve">posible incrementar las inversiones en un área siempre que se hagan recortes en otras. </w:t>
      </w:r>
      <w:r w:rsidR="00E66BA4" w:rsidRPr="00975033">
        <w:rPr>
          <w:rFonts w:ascii="Verdana" w:hAnsi="Verdana" w:cs="Arial"/>
          <w:sz w:val="20"/>
          <w:szCs w:val="20"/>
          <w:lang w:val="es-ES"/>
        </w:rPr>
        <w:t>De acuerdo con lo dispuesto en la normativa, c</w:t>
      </w:r>
      <w:r w:rsidRPr="00975033">
        <w:rPr>
          <w:rFonts w:ascii="Verdana" w:hAnsi="Verdana" w:cs="Arial"/>
          <w:sz w:val="20"/>
          <w:szCs w:val="20"/>
          <w:lang w:val="es-ES"/>
        </w:rPr>
        <w:t xml:space="preserve">ualquier cambio en las reglas solo podrá realizarse después del décimo año de vigencia del </w:t>
      </w:r>
      <w:r w:rsidR="00E66BA4" w:rsidRPr="00975033">
        <w:rPr>
          <w:rFonts w:ascii="Verdana" w:hAnsi="Verdana" w:cs="Arial"/>
          <w:sz w:val="20"/>
          <w:szCs w:val="20"/>
          <w:lang w:val="es-ES"/>
        </w:rPr>
        <w:t xml:space="preserve">nuevo </w:t>
      </w:r>
      <w:r w:rsidRPr="00975033">
        <w:rPr>
          <w:rFonts w:ascii="Verdana" w:hAnsi="Verdana" w:cs="Arial"/>
          <w:sz w:val="20"/>
          <w:szCs w:val="20"/>
          <w:lang w:val="es-ES"/>
        </w:rPr>
        <w:t xml:space="preserve">régimen </w:t>
      </w:r>
      <w:r w:rsidR="00E66BA4" w:rsidRPr="00975033">
        <w:rPr>
          <w:rFonts w:ascii="Verdana" w:hAnsi="Verdana" w:cs="Arial"/>
          <w:sz w:val="20"/>
          <w:szCs w:val="20"/>
          <w:lang w:val="es-ES"/>
        </w:rPr>
        <w:t xml:space="preserve">fiscal </w:t>
      </w:r>
      <w:r w:rsidRPr="00975033">
        <w:rPr>
          <w:rFonts w:ascii="Verdana" w:hAnsi="Verdana" w:cs="Arial"/>
          <w:sz w:val="20"/>
          <w:szCs w:val="20"/>
          <w:lang w:val="es-ES"/>
        </w:rPr>
        <w:t xml:space="preserve">y se limitará a cambios en el índice de corrección </w:t>
      </w:r>
      <w:r w:rsidR="00E66BA4" w:rsidRPr="00975033">
        <w:rPr>
          <w:rFonts w:ascii="Verdana" w:hAnsi="Verdana" w:cs="Arial"/>
          <w:sz w:val="20"/>
          <w:szCs w:val="20"/>
          <w:lang w:val="es-ES"/>
        </w:rPr>
        <w:t xml:space="preserve">inflacionaria </w:t>
      </w:r>
      <w:r w:rsidRPr="00975033">
        <w:rPr>
          <w:rFonts w:ascii="Verdana" w:hAnsi="Verdana" w:cs="Arial"/>
          <w:sz w:val="20"/>
          <w:szCs w:val="20"/>
          <w:lang w:val="es-ES"/>
        </w:rPr>
        <w:t>anual</w:t>
      </w:r>
      <w:r w:rsidR="00875623" w:rsidRPr="00975033">
        <w:rPr>
          <w:rFonts w:ascii="Verdana" w:hAnsi="Verdana"/>
          <w:sz w:val="20"/>
          <w:szCs w:val="20"/>
          <w:vertAlign w:val="superscript"/>
          <w:lang w:val="es-ES"/>
        </w:rPr>
        <w:footnoteReference w:id="12"/>
      </w:r>
      <w:r w:rsidRPr="00975033">
        <w:rPr>
          <w:rFonts w:ascii="Verdana" w:hAnsi="Verdana" w:cs="Arial"/>
          <w:sz w:val="20"/>
          <w:szCs w:val="20"/>
          <w:lang w:val="es-ES"/>
        </w:rPr>
        <w:t>.</w:t>
      </w:r>
    </w:p>
    <w:p w14:paraId="68BFA854" w14:textId="77777777" w:rsidR="00E66BA4" w:rsidRPr="00975033" w:rsidRDefault="00E66BA4" w:rsidP="00975033">
      <w:pPr>
        <w:pStyle w:val="Prrafodelista"/>
        <w:snapToGrid w:val="0"/>
        <w:spacing w:after="0" w:line="240" w:lineRule="auto"/>
        <w:contextualSpacing w:val="0"/>
        <w:rPr>
          <w:rFonts w:ascii="Verdana" w:hAnsi="Verdana"/>
          <w:sz w:val="20"/>
          <w:szCs w:val="20"/>
          <w:lang w:val="es-ES"/>
        </w:rPr>
      </w:pPr>
    </w:p>
    <w:p w14:paraId="1BA999DA" w14:textId="77777777" w:rsidR="00224D00" w:rsidRPr="00975033" w:rsidRDefault="00875623"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La propia EC/95 señala algunos gastos que estarán excluidos del techo, como gastos de realización de elecciones para la justicia electoral</w:t>
      </w:r>
      <w:r w:rsidR="00224D00" w:rsidRPr="00975033">
        <w:rPr>
          <w:rFonts w:ascii="Verdana" w:hAnsi="Verdana"/>
          <w:sz w:val="20"/>
          <w:szCs w:val="20"/>
          <w:lang w:val="es-ES"/>
        </w:rPr>
        <w:t>;</w:t>
      </w:r>
      <w:r w:rsidRPr="00975033">
        <w:rPr>
          <w:rFonts w:ascii="Verdana" w:hAnsi="Verdana"/>
          <w:sz w:val="20"/>
          <w:szCs w:val="20"/>
          <w:lang w:val="es-ES"/>
        </w:rPr>
        <w:t xml:space="preserve"> </w:t>
      </w:r>
      <w:r w:rsidR="00224D00" w:rsidRPr="00975033">
        <w:rPr>
          <w:rFonts w:ascii="Verdana" w:hAnsi="Verdana"/>
          <w:sz w:val="20"/>
          <w:szCs w:val="20"/>
          <w:lang w:val="es-ES"/>
        </w:rPr>
        <w:t>transferencias constitucionales relacionadas con la participación de los estados y municipios en el producto de la exploración de petróleo y gas natural, y créditos extraordinarios abiertos para atender y hacer frente a gastos imprevisibles y urgentes, como los resultantes de guerras, conmociones internas o calamidades públicas, entre otros</w:t>
      </w:r>
      <w:r w:rsidR="009E1CB5" w:rsidRPr="00975033">
        <w:rPr>
          <w:rFonts w:ascii="Verdana" w:hAnsi="Verdana"/>
          <w:sz w:val="20"/>
          <w:szCs w:val="20"/>
          <w:vertAlign w:val="superscript"/>
          <w:lang w:val="es-ES"/>
        </w:rPr>
        <w:footnoteReference w:id="13"/>
      </w:r>
      <w:r w:rsidR="00224D00" w:rsidRPr="00975033">
        <w:rPr>
          <w:rFonts w:ascii="Verdana" w:hAnsi="Verdana"/>
          <w:sz w:val="20"/>
          <w:szCs w:val="20"/>
          <w:lang w:val="es-ES"/>
        </w:rPr>
        <w:t>.</w:t>
      </w:r>
    </w:p>
    <w:p w14:paraId="547FF2EC" w14:textId="77777777" w:rsidR="00224D00" w:rsidRPr="00975033" w:rsidRDefault="00224D00" w:rsidP="00975033">
      <w:pPr>
        <w:pStyle w:val="Prrafodelista"/>
        <w:snapToGrid w:val="0"/>
        <w:spacing w:after="0" w:line="240" w:lineRule="auto"/>
        <w:contextualSpacing w:val="0"/>
        <w:rPr>
          <w:rFonts w:ascii="Verdana" w:hAnsi="Verdana"/>
          <w:sz w:val="20"/>
          <w:szCs w:val="20"/>
          <w:lang w:val="es-ES"/>
        </w:rPr>
      </w:pPr>
    </w:p>
    <w:p w14:paraId="4B972073" w14:textId="3CFF4914" w:rsidR="00D27E20" w:rsidRPr="00975033" w:rsidRDefault="00224D00"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Ahora bien, los porcentajes obligatorios de gasto en salud y educación no se excluyeron del techo. La Constitución brasileña exige que los gobiernos apliquen un porcentaje mínimo de sus ingresos a la educación</w:t>
      </w:r>
      <w:r w:rsidR="00620D23" w:rsidRPr="00975033">
        <w:rPr>
          <w:rFonts w:ascii="Verdana" w:hAnsi="Verdana"/>
          <w:sz w:val="20"/>
          <w:szCs w:val="20"/>
          <w:vertAlign w:val="superscript"/>
          <w:lang w:val="es-ES"/>
        </w:rPr>
        <w:footnoteReference w:id="14"/>
      </w:r>
      <w:r w:rsidRPr="00975033">
        <w:rPr>
          <w:rFonts w:ascii="Verdana" w:hAnsi="Verdana"/>
          <w:sz w:val="20"/>
          <w:szCs w:val="20"/>
          <w:lang w:val="es-ES"/>
        </w:rPr>
        <w:t xml:space="preserve"> y la salud</w:t>
      </w:r>
      <w:r w:rsidR="00620D23" w:rsidRPr="00975033">
        <w:rPr>
          <w:rFonts w:ascii="Verdana" w:hAnsi="Verdana"/>
          <w:sz w:val="20"/>
          <w:szCs w:val="20"/>
          <w:vertAlign w:val="superscript"/>
          <w:lang w:val="es-ES"/>
        </w:rPr>
        <w:footnoteReference w:id="15"/>
      </w:r>
      <w:r w:rsidRPr="00975033">
        <w:rPr>
          <w:rFonts w:ascii="Verdana" w:hAnsi="Verdana"/>
          <w:sz w:val="20"/>
          <w:szCs w:val="20"/>
          <w:lang w:val="es-ES"/>
        </w:rPr>
        <w:t xml:space="preserve">. </w:t>
      </w:r>
      <w:r w:rsidR="00620D23" w:rsidRPr="00975033">
        <w:rPr>
          <w:rFonts w:ascii="Verdana" w:hAnsi="Verdana"/>
          <w:sz w:val="20"/>
          <w:szCs w:val="20"/>
          <w:lang w:val="es-ES"/>
        </w:rPr>
        <w:t xml:space="preserve">Antes de que la EC/95 </w:t>
      </w:r>
      <w:r w:rsidR="00FE4217" w:rsidRPr="00975033">
        <w:rPr>
          <w:rFonts w:ascii="Verdana" w:hAnsi="Verdana"/>
          <w:sz w:val="20"/>
          <w:szCs w:val="20"/>
          <w:lang w:val="es-ES"/>
        </w:rPr>
        <w:t>entrara en vigor</w:t>
      </w:r>
      <w:r w:rsidRPr="00975033">
        <w:rPr>
          <w:rFonts w:ascii="Verdana" w:hAnsi="Verdana"/>
          <w:sz w:val="20"/>
          <w:szCs w:val="20"/>
          <w:lang w:val="es-ES"/>
        </w:rPr>
        <w:t>, el Gobierno Federal est</w:t>
      </w:r>
      <w:r w:rsidR="00620D23" w:rsidRPr="00975033">
        <w:rPr>
          <w:rFonts w:ascii="Verdana" w:hAnsi="Verdana"/>
          <w:sz w:val="20"/>
          <w:szCs w:val="20"/>
          <w:lang w:val="es-ES"/>
        </w:rPr>
        <w:t>aba</w:t>
      </w:r>
      <w:r w:rsidRPr="00975033">
        <w:rPr>
          <w:rFonts w:ascii="Verdana" w:hAnsi="Verdana"/>
          <w:sz w:val="20"/>
          <w:szCs w:val="20"/>
          <w:lang w:val="es-ES"/>
        </w:rPr>
        <w:t xml:space="preserve"> obligado a aplicar a la salud al menos la misma cantidad que el año anterior, más el porcentaje de variación del PIB. Los estados y municipios deben invertir 12% y 15%, respectivamente. En educación, el Gobierno Federal debe gastar el 18% de lo recaudado, y los estados y municipios, el 25%.</w:t>
      </w:r>
      <w:r w:rsidR="00620D23" w:rsidRPr="00975033">
        <w:rPr>
          <w:rFonts w:ascii="Verdana" w:hAnsi="Verdana"/>
          <w:sz w:val="20"/>
          <w:szCs w:val="20"/>
          <w:lang w:val="es-ES"/>
        </w:rPr>
        <w:t xml:space="preserve"> Desde 2017, por disposición de la EC/95, las inversiones en salud y educación se deben limitar a los mínimos constitucionales más la corrección monetaria a raíz de la inflación</w:t>
      </w:r>
      <w:r w:rsidR="00741F04" w:rsidRPr="00975033">
        <w:rPr>
          <w:rFonts w:ascii="Verdana" w:hAnsi="Verdana"/>
          <w:sz w:val="20"/>
          <w:szCs w:val="20"/>
          <w:vertAlign w:val="superscript"/>
          <w:lang w:val="es-ES"/>
        </w:rPr>
        <w:footnoteReference w:id="16"/>
      </w:r>
      <w:r w:rsidR="00620D23" w:rsidRPr="00975033">
        <w:rPr>
          <w:rFonts w:ascii="Verdana" w:hAnsi="Verdana"/>
          <w:sz w:val="20"/>
          <w:szCs w:val="20"/>
          <w:lang w:val="es-ES"/>
        </w:rPr>
        <w:t>.</w:t>
      </w:r>
    </w:p>
    <w:p w14:paraId="7FC4B803" w14:textId="77777777" w:rsidR="00091DF4" w:rsidRPr="00975033" w:rsidRDefault="00091DF4" w:rsidP="00975033">
      <w:pPr>
        <w:tabs>
          <w:tab w:val="left" w:pos="709"/>
        </w:tabs>
        <w:snapToGrid w:val="0"/>
        <w:jc w:val="both"/>
        <w:rPr>
          <w:rFonts w:ascii="Verdana" w:hAnsi="Verdana"/>
          <w:b/>
          <w:sz w:val="20"/>
          <w:szCs w:val="20"/>
          <w:lang w:val="es-ES"/>
        </w:rPr>
      </w:pPr>
    </w:p>
    <w:p w14:paraId="38D43BEF" w14:textId="77777777" w:rsidR="009C5369" w:rsidRPr="00975033" w:rsidRDefault="009C5369" w:rsidP="00975033">
      <w:pPr>
        <w:tabs>
          <w:tab w:val="left" w:pos="709"/>
        </w:tabs>
        <w:snapToGrid w:val="0"/>
        <w:jc w:val="both"/>
        <w:rPr>
          <w:rFonts w:ascii="Verdana" w:hAnsi="Verdana"/>
          <w:b/>
          <w:sz w:val="20"/>
          <w:szCs w:val="20"/>
          <w:lang w:val="es-ES"/>
        </w:rPr>
      </w:pPr>
    </w:p>
    <w:p w14:paraId="410C0894" w14:textId="0212FD25" w:rsidR="005B1389" w:rsidRPr="00975033" w:rsidRDefault="00F70DBE" w:rsidP="00975033">
      <w:pPr>
        <w:pStyle w:val="Prrafodelista"/>
        <w:numPr>
          <w:ilvl w:val="0"/>
          <w:numId w:val="7"/>
        </w:numPr>
        <w:tabs>
          <w:tab w:val="left" w:pos="709"/>
        </w:tabs>
        <w:snapToGrid w:val="0"/>
        <w:spacing w:after="0" w:line="240" w:lineRule="auto"/>
        <w:ind w:left="1417" w:hanging="357"/>
        <w:contextualSpacing w:val="0"/>
        <w:jc w:val="both"/>
        <w:rPr>
          <w:rFonts w:ascii="Verdana" w:hAnsi="Verdana"/>
          <w:b/>
          <w:sz w:val="20"/>
          <w:szCs w:val="20"/>
          <w:lang w:val="es-ES"/>
        </w:rPr>
      </w:pPr>
      <w:r w:rsidRPr="00975033">
        <w:rPr>
          <w:rFonts w:ascii="Verdana" w:hAnsi="Verdana"/>
          <w:b/>
          <w:sz w:val="20"/>
          <w:szCs w:val="20"/>
          <w:lang w:val="es-ES"/>
        </w:rPr>
        <w:t xml:space="preserve">La interdependencia, indivisibilidad, </w:t>
      </w:r>
      <w:r w:rsidR="005A6705" w:rsidRPr="00975033">
        <w:rPr>
          <w:rFonts w:ascii="Verdana" w:hAnsi="Verdana"/>
          <w:b/>
          <w:sz w:val="20"/>
          <w:szCs w:val="20"/>
          <w:lang w:val="es-ES"/>
        </w:rPr>
        <w:t xml:space="preserve">progresividad y no regresividad </w:t>
      </w:r>
      <w:r w:rsidRPr="00975033">
        <w:rPr>
          <w:rFonts w:ascii="Verdana" w:hAnsi="Verdana"/>
          <w:b/>
          <w:sz w:val="20"/>
          <w:szCs w:val="20"/>
          <w:lang w:val="es-ES"/>
        </w:rPr>
        <w:t>de los derechos humanos</w:t>
      </w:r>
    </w:p>
    <w:p w14:paraId="05B1FDEB" w14:textId="6F950DC9" w:rsidR="00407B05" w:rsidRPr="00975033" w:rsidRDefault="00407B05" w:rsidP="00975033">
      <w:pPr>
        <w:pStyle w:val="Prrafodelista"/>
        <w:snapToGrid w:val="0"/>
        <w:spacing w:after="0" w:line="240" w:lineRule="auto"/>
        <w:ind w:left="0"/>
        <w:contextualSpacing w:val="0"/>
        <w:jc w:val="both"/>
        <w:rPr>
          <w:rFonts w:ascii="Verdana" w:hAnsi="Verdana"/>
          <w:sz w:val="20"/>
          <w:szCs w:val="20"/>
          <w:lang w:val="es-ES"/>
        </w:rPr>
      </w:pPr>
    </w:p>
    <w:p w14:paraId="24CD925F" w14:textId="76355BA8" w:rsidR="00A424AF" w:rsidRPr="00975033" w:rsidRDefault="001E7C89"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La indivisibilidad e interdependencia de l</w:t>
      </w:r>
      <w:r w:rsidR="00A424AF" w:rsidRPr="00A424AF">
        <w:rPr>
          <w:rFonts w:ascii="Verdana" w:hAnsi="Verdana"/>
          <w:sz w:val="20"/>
          <w:szCs w:val="20"/>
          <w:lang w:val="es-ES"/>
        </w:rPr>
        <w:t>os derechos humanos</w:t>
      </w:r>
      <w:r w:rsidRPr="00975033">
        <w:rPr>
          <w:rFonts w:ascii="Verdana" w:hAnsi="Verdana"/>
          <w:sz w:val="20"/>
          <w:szCs w:val="20"/>
          <w:lang w:val="es-ES"/>
        </w:rPr>
        <w:t xml:space="preserve"> ha sido reconocida y reafirmada en diversas oportunidades, por distintos organismos nacionales e internaciones</w:t>
      </w:r>
      <w:r w:rsidR="00E52775" w:rsidRPr="00975033">
        <w:rPr>
          <w:rFonts w:ascii="Verdana" w:hAnsi="Verdana"/>
          <w:sz w:val="20"/>
          <w:szCs w:val="20"/>
          <w:lang w:val="es-ES"/>
        </w:rPr>
        <w:t xml:space="preserve">. </w:t>
      </w:r>
      <w:r w:rsidR="00011782">
        <w:rPr>
          <w:rFonts w:ascii="Verdana" w:hAnsi="Verdana"/>
          <w:sz w:val="20"/>
          <w:szCs w:val="20"/>
          <w:lang w:val="es-ES"/>
        </w:rPr>
        <w:t>En consecuencia</w:t>
      </w:r>
      <w:r w:rsidR="00E52775" w:rsidRPr="00975033">
        <w:rPr>
          <w:rFonts w:ascii="Verdana" w:hAnsi="Verdana"/>
          <w:sz w:val="20"/>
          <w:szCs w:val="20"/>
          <w:lang w:val="es-ES"/>
        </w:rPr>
        <w:t>,</w:t>
      </w:r>
      <w:r w:rsidR="001163D4" w:rsidRPr="00975033">
        <w:rPr>
          <w:rFonts w:ascii="Verdana" w:hAnsi="Verdana"/>
          <w:sz w:val="20"/>
          <w:szCs w:val="20"/>
          <w:lang w:val="es-ES"/>
        </w:rPr>
        <w:t xml:space="preserve"> es pacífica</w:t>
      </w:r>
      <w:r w:rsidR="00011782">
        <w:rPr>
          <w:rFonts w:ascii="Verdana" w:hAnsi="Verdana"/>
          <w:sz w:val="20"/>
          <w:szCs w:val="20"/>
          <w:lang w:val="es-ES"/>
        </w:rPr>
        <w:t xml:space="preserve"> y generalmente aceptada</w:t>
      </w:r>
      <w:r w:rsidR="001163D4" w:rsidRPr="00975033">
        <w:rPr>
          <w:rFonts w:ascii="Verdana" w:hAnsi="Verdana"/>
          <w:sz w:val="20"/>
          <w:szCs w:val="20"/>
          <w:lang w:val="es-ES"/>
        </w:rPr>
        <w:t xml:space="preserve"> la comprensión de que los derechos civiles y políticos y los derechos económicos, sociales, culturales y ambientales son indivisibles e interdependientes entre sí</w:t>
      </w:r>
      <w:r w:rsidR="00A424AF" w:rsidRPr="00A424AF">
        <w:rPr>
          <w:rFonts w:ascii="Verdana" w:hAnsi="Verdana"/>
          <w:sz w:val="20"/>
          <w:szCs w:val="20"/>
          <w:lang w:val="es-ES"/>
        </w:rPr>
        <w:t>, es decir</w:t>
      </w:r>
      <w:r w:rsidR="005B7522">
        <w:rPr>
          <w:rFonts w:ascii="Verdana" w:hAnsi="Verdana"/>
          <w:sz w:val="20"/>
          <w:szCs w:val="20"/>
          <w:lang w:val="es-ES"/>
        </w:rPr>
        <w:t>,</w:t>
      </w:r>
      <w:r w:rsidR="00A424AF" w:rsidRPr="00A424AF">
        <w:rPr>
          <w:rFonts w:ascii="Verdana" w:hAnsi="Verdana"/>
          <w:sz w:val="20"/>
          <w:szCs w:val="20"/>
          <w:lang w:val="es-ES"/>
        </w:rPr>
        <w:t xml:space="preserve"> </w:t>
      </w:r>
      <w:r w:rsidR="001163D4" w:rsidRPr="00975033">
        <w:rPr>
          <w:rFonts w:ascii="Verdana" w:hAnsi="Verdana"/>
          <w:sz w:val="20"/>
          <w:szCs w:val="20"/>
          <w:lang w:val="es-ES"/>
        </w:rPr>
        <w:t xml:space="preserve">tienen un vínculo que no solo hace que deban ser comprendidos en conjunto, sino que también implica que </w:t>
      </w:r>
      <w:r w:rsidR="00A424AF" w:rsidRPr="00A424AF">
        <w:rPr>
          <w:rFonts w:ascii="Verdana" w:hAnsi="Verdana"/>
          <w:sz w:val="20"/>
          <w:szCs w:val="20"/>
          <w:lang w:val="es-ES"/>
        </w:rPr>
        <w:t xml:space="preserve">el goce y ejercicio de un derecho está vinculado a que se garantice </w:t>
      </w:r>
      <w:r w:rsidR="001163D4" w:rsidRPr="00975033">
        <w:rPr>
          <w:rFonts w:ascii="Verdana" w:hAnsi="Verdana"/>
          <w:sz w:val="20"/>
          <w:szCs w:val="20"/>
          <w:lang w:val="es-ES"/>
        </w:rPr>
        <w:t>los otros,</w:t>
      </w:r>
      <w:r w:rsidR="00A424AF" w:rsidRPr="00A424AF">
        <w:rPr>
          <w:rFonts w:ascii="Verdana" w:hAnsi="Verdana"/>
          <w:sz w:val="20"/>
          <w:szCs w:val="20"/>
          <w:lang w:val="es-ES"/>
        </w:rPr>
        <w:t xml:space="preserve"> así como </w:t>
      </w:r>
      <w:r w:rsidR="001163D4" w:rsidRPr="00975033">
        <w:rPr>
          <w:rFonts w:ascii="Verdana" w:hAnsi="Verdana"/>
          <w:sz w:val="20"/>
          <w:szCs w:val="20"/>
          <w:lang w:val="es-ES"/>
        </w:rPr>
        <w:t xml:space="preserve">que </w:t>
      </w:r>
      <w:r w:rsidR="00A424AF" w:rsidRPr="00A424AF">
        <w:rPr>
          <w:rFonts w:ascii="Verdana" w:hAnsi="Verdana"/>
          <w:sz w:val="20"/>
          <w:szCs w:val="20"/>
          <w:lang w:val="es-ES"/>
        </w:rPr>
        <w:t>la violación de un</w:t>
      </w:r>
      <w:r w:rsidR="00011782">
        <w:rPr>
          <w:rFonts w:ascii="Verdana" w:hAnsi="Verdana"/>
          <w:sz w:val="20"/>
          <w:szCs w:val="20"/>
          <w:lang w:val="es-ES"/>
        </w:rPr>
        <w:t>o</w:t>
      </w:r>
      <w:r w:rsidR="001163D4" w:rsidRPr="00975033">
        <w:rPr>
          <w:rFonts w:ascii="Verdana" w:hAnsi="Verdana"/>
          <w:sz w:val="20"/>
          <w:szCs w:val="20"/>
          <w:lang w:val="es-ES"/>
        </w:rPr>
        <w:t xml:space="preserve"> de esos</w:t>
      </w:r>
      <w:r w:rsidR="00A424AF" w:rsidRPr="00A424AF">
        <w:rPr>
          <w:rFonts w:ascii="Verdana" w:hAnsi="Verdana"/>
          <w:sz w:val="20"/>
          <w:szCs w:val="20"/>
          <w:lang w:val="es-ES"/>
        </w:rPr>
        <w:t xml:space="preserve"> derecho</w:t>
      </w:r>
      <w:r w:rsidR="001163D4" w:rsidRPr="00975033">
        <w:rPr>
          <w:rFonts w:ascii="Verdana" w:hAnsi="Verdana"/>
          <w:sz w:val="20"/>
          <w:szCs w:val="20"/>
          <w:lang w:val="es-ES"/>
        </w:rPr>
        <w:t>s</w:t>
      </w:r>
      <w:r w:rsidR="00A424AF" w:rsidRPr="00A424AF">
        <w:rPr>
          <w:rFonts w:ascii="Verdana" w:hAnsi="Verdana"/>
          <w:sz w:val="20"/>
          <w:szCs w:val="20"/>
          <w:lang w:val="es-ES"/>
        </w:rPr>
        <w:t xml:space="preserve"> pone en riesgo </w:t>
      </w:r>
      <w:r w:rsidR="00011782">
        <w:rPr>
          <w:rFonts w:ascii="Verdana" w:hAnsi="Verdana"/>
          <w:sz w:val="20"/>
          <w:szCs w:val="20"/>
          <w:lang w:val="es-ES"/>
        </w:rPr>
        <w:t>el conjunto de los demás derechos</w:t>
      </w:r>
      <w:r w:rsidR="00A424AF" w:rsidRPr="00A424AF">
        <w:rPr>
          <w:rFonts w:ascii="Verdana" w:hAnsi="Verdana"/>
          <w:sz w:val="20"/>
          <w:szCs w:val="20"/>
          <w:lang w:val="es-ES"/>
        </w:rPr>
        <w:t xml:space="preserve">. </w:t>
      </w:r>
    </w:p>
    <w:p w14:paraId="1C4D1CE1" w14:textId="77777777" w:rsidR="009C3A11" w:rsidRPr="00975033" w:rsidRDefault="009C3A11" w:rsidP="00975033">
      <w:pPr>
        <w:snapToGrid w:val="0"/>
        <w:jc w:val="both"/>
        <w:rPr>
          <w:rFonts w:ascii="Verdana" w:hAnsi="Verdana"/>
          <w:sz w:val="20"/>
          <w:szCs w:val="20"/>
          <w:lang w:val="es-ES"/>
        </w:rPr>
      </w:pPr>
    </w:p>
    <w:p w14:paraId="21438066" w14:textId="7F0EB2FC" w:rsidR="00A424AF" w:rsidRPr="00975033" w:rsidRDefault="009C3A11"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En este sentido, el Preámbulo de la Convención Americana reconoce el principio de la indivisibilidad e interdependencia de l</w:t>
      </w:r>
      <w:r w:rsidRPr="00A424AF">
        <w:rPr>
          <w:rFonts w:ascii="Verdana" w:hAnsi="Verdana"/>
          <w:sz w:val="20"/>
          <w:szCs w:val="20"/>
          <w:lang w:val="es-ES"/>
        </w:rPr>
        <w:t>os derechos humanos</w:t>
      </w:r>
      <w:r w:rsidRPr="00975033">
        <w:rPr>
          <w:rFonts w:ascii="Verdana" w:hAnsi="Verdana"/>
          <w:sz w:val="20"/>
          <w:szCs w:val="20"/>
          <w:lang w:val="es-ES"/>
        </w:rPr>
        <w:t xml:space="preserve">, cuando reitera que “sólo puede realizarse el ideal del ser humano libre, exento del temor y de la miseria, si se crean condiciones que permitan a cada persona gozar de sus derechos económicos, sociales y culturales, tanto como de sus derechos civiles y </w:t>
      </w:r>
      <w:r w:rsidR="00FA2F7D" w:rsidRPr="00975033">
        <w:rPr>
          <w:rFonts w:ascii="Verdana" w:hAnsi="Verdana"/>
          <w:sz w:val="20"/>
          <w:szCs w:val="20"/>
          <w:lang w:val="es-ES"/>
        </w:rPr>
        <w:t>políticos</w:t>
      </w:r>
      <w:r w:rsidRPr="00975033">
        <w:rPr>
          <w:rFonts w:ascii="Verdana" w:hAnsi="Verdana"/>
          <w:sz w:val="20"/>
          <w:szCs w:val="20"/>
          <w:lang w:val="es-ES"/>
        </w:rPr>
        <w:t>”</w:t>
      </w:r>
      <w:r w:rsidR="00FA2F7D" w:rsidRPr="00975033">
        <w:rPr>
          <w:rFonts w:ascii="Verdana" w:hAnsi="Verdana"/>
          <w:sz w:val="20"/>
          <w:szCs w:val="20"/>
          <w:vertAlign w:val="superscript"/>
          <w:lang w:val="es-ES"/>
        </w:rPr>
        <w:t xml:space="preserve"> </w:t>
      </w:r>
      <w:r w:rsidR="00FA2F7D" w:rsidRPr="00975033">
        <w:rPr>
          <w:rFonts w:ascii="Verdana" w:hAnsi="Verdana"/>
          <w:sz w:val="20"/>
          <w:szCs w:val="20"/>
          <w:vertAlign w:val="superscript"/>
          <w:lang w:val="es-ES"/>
        </w:rPr>
        <w:footnoteReference w:id="17"/>
      </w:r>
      <w:r w:rsidRPr="00975033">
        <w:rPr>
          <w:rFonts w:ascii="Verdana" w:hAnsi="Verdana"/>
          <w:sz w:val="20"/>
          <w:szCs w:val="20"/>
          <w:lang w:val="es-ES"/>
        </w:rPr>
        <w:t>. </w:t>
      </w:r>
    </w:p>
    <w:p w14:paraId="7040C7E7" w14:textId="77777777" w:rsidR="00E52775" w:rsidRPr="00975033" w:rsidRDefault="00E52775" w:rsidP="00975033">
      <w:pPr>
        <w:pStyle w:val="Prrafodelista"/>
        <w:snapToGrid w:val="0"/>
        <w:spacing w:after="0" w:line="240" w:lineRule="auto"/>
        <w:contextualSpacing w:val="0"/>
        <w:rPr>
          <w:rFonts w:ascii="Verdana" w:hAnsi="Verdana"/>
          <w:sz w:val="20"/>
          <w:szCs w:val="20"/>
          <w:lang w:val="es-ES"/>
        </w:rPr>
      </w:pPr>
    </w:p>
    <w:p w14:paraId="356A00C0" w14:textId="53BC11FB" w:rsidR="004776DC" w:rsidRPr="00975033" w:rsidRDefault="00E52775" w:rsidP="00975033">
      <w:pPr>
        <w:pStyle w:val="Prrafodelista"/>
        <w:numPr>
          <w:ilvl w:val="0"/>
          <w:numId w:val="6"/>
        </w:numPr>
        <w:snapToGrid w:val="0"/>
        <w:spacing w:after="0" w:line="240" w:lineRule="auto"/>
        <w:ind w:left="0" w:firstLine="0"/>
        <w:contextualSpacing w:val="0"/>
        <w:jc w:val="both"/>
        <w:rPr>
          <w:rFonts w:ascii="Verdana" w:hAnsi="Verdana"/>
          <w:iCs/>
          <w:sz w:val="20"/>
          <w:szCs w:val="20"/>
          <w:lang w:val="es-ES"/>
        </w:rPr>
      </w:pPr>
      <w:r w:rsidRPr="00975033">
        <w:rPr>
          <w:rFonts w:ascii="Verdana" w:hAnsi="Verdana"/>
          <w:sz w:val="20"/>
          <w:szCs w:val="20"/>
          <w:lang w:val="es-ES"/>
        </w:rPr>
        <w:lastRenderedPageBreak/>
        <w:t xml:space="preserve">De igual forma, la Corte Interamericana, desde el </w:t>
      </w:r>
      <w:r w:rsidR="004776DC" w:rsidRPr="00975033">
        <w:rPr>
          <w:rFonts w:ascii="Verdana" w:hAnsi="Verdana"/>
          <w:iCs/>
          <w:sz w:val="20"/>
          <w:szCs w:val="20"/>
          <w:lang w:val="es-ES"/>
        </w:rPr>
        <w:t>c</w:t>
      </w:r>
      <w:r w:rsidRPr="00975033">
        <w:rPr>
          <w:rFonts w:ascii="Verdana" w:hAnsi="Verdana"/>
          <w:iCs/>
          <w:sz w:val="20"/>
          <w:szCs w:val="20"/>
          <w:lang w:val="es-ES"/>
        </w:rPr>
        <w:t>aso</w:t>
      </w:r>
      <w:r w:rsidRPr="00975033">
        <w:rPr>
          <w:rFonts w:ascii="Verdana" w:hAnsi="Verdana"/>
          <w:i/>
          <w:sz w:val="20"/>
          <w:szCs w:val="20"/>
          <w:lang w:val="es-ES"/>
        </w:rPr>
        <w:t xml:space="preserve"> Acevedo Buendía y otros</w:t>
      </w:r>
      <w:r w:rsidRPr="00975033">
        <w:rPr>
          <w:rFonts w:ascii="Verdana" w:hAnsi="Verdana"/>
          <w:sz w:val="20"/>
          <w:szCs w:val="20"/>
          <w:vertAlign w:val="superscript"/>
          <w:lang w:val="es-ES"/>
        </w:rPr>
        <w:footnoteReference w:id="18"/>
      </w:r>
      <w:r w:rsidR="004776DC" w:rsidRPr="00975033">
        <w:rPr>
          <w:rFonts w:ascii="Verdana" w:hAnsi="Verdana"/>
          <w:sz w:val="20"/>
          <w:szCs w:val="20"/>
          <w:lang w:val="es-ES"/>
        </w:rPr>
        <w:t xml:space="preserve">, </w:t>
      </w:r>
      <w:r w:rsidRPr="00975033">
        <w:rPr>
          <w:rFonts w:ascii="Verdana" w:hAnsi="Verdana"/>
          <w:sz w:val="20"/>
          <w:szCs w:val="20"/>
          <w:lang w:val="es-ES"/>
        </w:rPr>
        <w:t xml:space="preserve">se ha manifestado </w:t>
      </w:r>
      <w:r w:rsidR="004776DC" w:rsidRPr="00975033">
        <w:rPr>
          <w:rFonts w:ascii="Verdana" w:hAnsi="Verdana"/>
          <w:sz w:val="20"/>
          <w:szCs w:val="20"/>
          <w:lang w:val="es-ES"/>
        </w:rPr>
        <w:t>en reiteradas ocasiones</w:t>
      </w:r>
      <w:r w:rsidRPr="00975033">
        <w:rPr>
          <w:rFonts w:ascii="Verdana" w:hAnsi="Verdana"/>
          <w:sz w:val="20"/>
          <w:szCs w:val="20"/>
          <w:lang w:val="es-ES"/>
        </w:rPr>
        <w:t xml:space="preserve"> sobre el principio en cuestión </w:t>
      </w:r>
      <w:r w:rsidR="004776DC" w:rsidRPr="00975033">
        <w:rPr>
          <w:rFonts w:ascii="Verdana" w:hAnsi="Verdana"/>
          <w:sz w:val="20"/>
          <w:szCs w:val="20"/>
          <w:lang w:val="es-ES"/>
        </w:rPr>
        <w:t xml:space="preserve">y sobre sus implicaciones. Por ejemplo, en la sentencia del caso </w:t>
      </w:r>
      <w:proofErr w:type="spellStart"/>
      <w:r w:rsidR="004776DC" w:rsidRPr="00975033">
        <w:rPr>
          <w:rFonts w:ascii="Verdana" w:hAnsi="Verdana"/>
          <w:bCs/>
          <w:i/>
          <w:sz w:val="20"/>
          <w:szCs w:val="20"/>
          <w:lang w:val="es-ES"/>
        </w:rPr>
        <w:t>Cuscul</w:t>
      </w:r>
      <w:proofErr w:type="spellEnd"/>
      <w:r w:rsidR="004776DC" w:rsidRPr="00975033">
        <w:rPr>
          <w:rFonts w:ascii="Verdana" w:hAnsi="Verdana"/>
          <w:bCs/>
          <w:i/>
          <w:sz w:val="20"/>
          <w:szCs w:val="20"/>
          <w:lang w:val="es-ES"/>
        </w:rPr>
        <w:t xml:space="preserve"> Pivaral y otros</w:t>
      </w:r>
      <w:r w:rsidR="004776DC" w:rsidRPr="00975033">
        <w:rPr>
          <w:rFonts w:ascii="Verdana" w:hAnsi="Verdana"/>
          <w:bCs/>
          <w:iCs/>
          <w:sz w:val="20"/>
          <w:szCs w:val="20"/>
          <w:lang w:val="es-ES"/>
        </w:rPr>
        <w:t>, el Tribunal señal</w:t>
      </w:r>
      <w:r w:rsidR="00011782">
        <w:rPr>
          <w:rFonts w:ascii="Verdana" w:hAnsi="Verdana"/>
          <w:bCs/>
          <w:iCs/>
          <w:sz w:val="20"/>
          <w:szCs w:val="20"/>
          <w:lang w:val="es-ES"/>
        </w:rPr>
        <w:t>ó</w:t>
      </w:r>
      <w:r w:rsidR="004776DC" w:rsidRPr="00975033">
        <w:rPr>
          <w:rFonts w:ascii="Verdana" w:hAnsi="Verdana"/>
          <w:bCs/>
          <w:iCs/>
          <w:sz w:val="20"/>
          <w:szCs w:val="20"/>
          <w:lang w:val="es-ES"/>
        </w:rPr>
        <w:t xml:space="preserve"> lo siguiente:</w:t>
      </w:r>
    </w:p>
    <w:p w14:paraId="3EAB9E17" w14:textId="77777777" w:rsidR="004776DC" w:rsidRPr="00975033" w:rsidRDefault="004776DC" w:rsidP="00975033">
      <w:pPr>
        <w:pStyle w:val="Prrafodelista"/>
        <w:snapToGrid w:val="0"/>
        <w:spacing w:after="0" w:line="240" w:lineRule="auto"/>
        <w:contextualSpacing w:val="0"/>
        <w:rPr>
          <w:rFonts w:ascii="Verdana" w:hAnsi="Verdana"/>
          <w:bCs/>
          <w:iCs/>
          <w:sz w:val="20"/>
          <w:szCs w:val="20"/>
          <w:lang w:val="es-ES"/>
        </w:rPr>
      </w:pPr>
    </w:p>
    <w:p w14:paraId="71F572C4" w14:textId="4EB7EAB7" w:rsidR="00E52775" w:rsidRPr="00975033" w:rsidRDefault="004776DC" w:rsidP="00975033">
      <w:pPr>
        <w:pStyle w:val="Prrafodelista"/>
        <w:snapToGrid w:val="0"/>
        <w:spacing w:after="0" w:line="240" w:lineRule="auto"/>
        <w:contextualSpacing w:val="0"/>
        <w:jc w:val="both"/>
        <w:rPr>
          <w:rFonts w:ascii="Verdana" w:hAnsi="Verdana"/>
          <w:i/>
          <w:sz w:val="18"/>
          <w:szCs w:val="18"/>
          <w:lang w:val="es-ES"/>
        </w:rPr>
      </w:pPr>
      <w:r w:rsidRPr="00975033">
        <w:rPr>
          <w:rFonts w:ascii="Verdana" w:hAnsi="Verdana"/>
          <w:bCs/>
          <w:i/>
          <w:sz w:val="18"/>
          <w:szCs w:val="18"/>
          <w:lang w:val="es-ES"/>
        </w:rPr>
        <w:t>El Tribunal advierte que el hecho de que los derechos derivados del artículo 26 estén sujetos a las obligaciones generales de la Convención Americana no sólo es resultado de cuestiones formales, sino que resulta de la interdependencia e indivisibilidad recíproca existente entre los derechos civiles y políticos y los económicos, sociales, culturales y ambientales. Al respecto, la Corte ha reconocido que ambas categorías de derechos deben ser entendidas integralmente y de forma conglobada como derechos humanos, sin jerarquía entre sí y exigibles en todos los casos ante aquellas autoridades que resulten competentes para ello. De igual forma, el Tribunal advierte que el Preámbulo de la Convención, así como diversas cláusulas de la Declaración Americana, muestran que tanto los derechos civiles y políticos, como los DESCA, fueron reconocidos por los Estados de la región como derechos esenciales de la persona humana.</w:t>
      </w:r>
      <w:r w:rsidRPr="00975033">
        <w:rPr>
          <w:rFonts w:ascii="Verdana" w:hAnsi="Verdana"/>
          <w:bCs/>
          <w:iCs/>
          <w:sz w:val="20"/>
          <w:szCs w:val="20"/>
          <w:vertAlign w:val="superscript"/>
          <w:lang w:val="es-ES"/>
        </w:rPr>
        <w:footnoteReference w:id="19"/>
      </w:r>
    </w:p>
    <w:p w14:paraId="2332491F" w14:textId="77777777" w:rsidR="009C3A11" w:rsidRPr="00975033" w:rsidRDefault="009C3A11" w:rsidP="00975033">
      <w:pPr>
        <w:snapToGrid w:val="0"/>
        <w:jc w:val="both"/>
        <w:rPr>
          <w:rFonts w:ascii="Verdana" w:hAnsi="Verdana"/>
          <w:sz w:val="20"/>
          <w:szCs w:val="20"/>
          <w:lang w:val="es-ES"/>
        </w:rPr>
      </w:pPr>
    </w:p>
    <w:p w14:paraId="0C2A1B85" w14:textId="65401B92" w:rsidR="00AC6D11" w:rsidRPr="00975033" w:rsidRDefault="0005382A"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Por otra parte, l</w:t>
      </w:r>
      <w:r w:rsidR="00AC6D11" w:rsidRPr="00975033">
        <w:rPr>
          <w:rFonts w:ascii="Verdana" w:hAnsi="Verdana"/>
          <w:sz w:val="20"/>
          <w:szCs w:val="20"/>
          <w:lang w:val="es-ES"/>
        </w:rPr>
        <w:t>a Resolución 32/130 de la Asamblea General de Naciones Unidas de 16 de diciembre de 1977, afirma que: “a) Todos los derechos humanos y libertades fundamentales son indivisibles e interdependientes; deberá prestarse la misma atención y urgente consideración a la aplicación, la promoción y la protección tanto de los derechos civiles y políticos, como de los derechos económicos, sociales y culturales; b) La plena realización de los derechos civiles y políticos sin el goce de los derechos económicos, sociales y culturales resulta imposible; la consecución de un progreso duradero en la aplicación de los derechos humanos depende de unas buenas</w:t>
      </w:r>
      <w:r w:rsidR="0064752C" w:rsidRPr="00975033">
        <w:rPr>
          <w:rFonts w:ascii="Verdana" w:hAnsi="Verdana"/>
          <w:sz w:val="20"/>
          <w:szCs w:val="20"/>
          <w:lang w:val="es-ES"/>
        </w:rPr>
        <w:t xml:space="preserve"> </w:t>
      </w:r>
      <w:r w:rsidR="00AC6D11" w:rsidRPr="00975033">
        <w:rPr>
          <w:rFonts w:ascii="Verdana" w:hAnsi="Verdana"/>
          <w:sz w:val="20"/>
          <w:szCs w:val="20"/>
          <w:lang w:val="es-ES"/>
        </w:rPr>
        <w:t>y eficaces políticas nacionales e internacionales de desarrollo económico y social (…)”</w:t>
      </w:r>
      <w:r w:rsidR="005B3B4D" w:rsidRPr="00975033">
        <w:rPr>
          <w:rStyle w:val="Refdenotaalpie"/>
          <w:rFonts w:ascii="Verdana" w:hAnsi="Verdana"/>
          <w:sz w:val="20"/>
          <w:szCs w:val="20"/>
          <w:lang w:val="es-ES"/>
        </w:rPr>
        <w:footnoteReference w:id="20"/>
      </w:r>
      <w:r w:rsidR="00AC6D11" w:rsidRPr="00975033">
        <w:rPr>
          <w:rFonts w:ascii="Verdana" w:hAnsi="Verdana"/>
          <w:sz w:val="20"/>
          <w:szCs w:val="20"/>
          <w:lang w:val="es-ES"/>
        </w:rPr>
        <w:t>.</w:t>
      </w:r>
      <w:r w:rsidR="00011782">
        <w:rPr>
          <w:rFonts w:ascii="Verdana" w:hAnsi="Verdana"/>
          <w:sz w:val="20"/>
          <w:szCs w:val="20"/>
          <w:lang w:val="es-ES"/>
        </w:rPr>
        <w:t xml:space="preserve"> Por lo tanto, siguiendo la perspectiva de sometimiento</w:t>
      </w:r>
      <w:r w:rsidR="00F86784">
        <w:rPr>
          <w:rFonts w:ascii="Verdana" w:hAnsi="Verdana"/>
          <w:sz w:val="20"/>
          <w:szCs w:val="20"/>
          <w:lang w:val="es-ES"/>
        </w:rPr>
        <w:t xml:space="preserve"> y respeto</w:t>
      </w:r>
      <w:r w:rsidR="00011782">
        <w:rPr>
          <w:rFonts w:ascii="Verdana" w:hAnsi="Verdana"/>
          <w:sz w:val="20"/>
          <w:szCs w:val="20"/>
          <w:lang w:val="es-ES"/>
        </w:rPr>
        <w:t xml:space="preserve"> al orden </w:t>
      </w:r>
      <w:r w:rsidR="00F86784">
        <w:rPr>
          <w:rFonts w:ascii="Verdana" w:hAnsi="Verdana"/>
          <w:sz w:val="20"/>
          <w:szCs w:val="20"/>
          <w:lang w:val="es-ES"/>
        </w:rPr>
        <w:t>jerárquico</w:t>
      </w:r>
      <w:r w:rsidR="00011782">
        <w:rPr>
          <w:rFonts w:ascii="Verdana" w:hAnsi="Verdana"/>
          <w:sz w:val="20"/>
          <w:szCs w:val="20"/>
          <w:lang w:val="es-ES"/>
        </w:rPr>
        <w:t xml:space="preserve"> superior normativo, en el ámbito global</w:t>
      </w:r>
      <w:r w:rsidR="00FA04F5" w:rsidRPr="00975033">
        <w:rPr>
          <w:rStyle w:val="Refdenotaalpie"/>
          <w:rFonts w:ascii="Verdana" w:hAnsi="Verdana"/>
          <w:sz w:val="20"/>
          <w:szCs w:val="20"/>
          <w:lang w:val="es-ES"/>
        </w:rPr>
        <w:footnoteReference w:id="21"/>
      </w:r>
      <w:r w:rsidR="00011782">
        <w:rPr>
          <w:rFonts w:ascii="Verdana" w:hAnsi="Verdana"/>
          <w:sz w:val="20"/>
          <w:szCs w:val="20"/>
          <w:lang w:val="es-ES"/>
        </w:rPr>
        <w:t xml:space="preserve">, </w:t>
      </w:r>
      <w:r w:rsidR="00F86784">
        <w:rPr>
          <w:rFonts w:ascii="Verdana" w:hAnsi="Verdana"/>
          <w:sz w:val="20"/>
          <w:szCs w:val="20"/>
          <w:lang w:val="es-ES"/>
        </w:rPr>
        <w:t>estas afirmaciones alumbran y reafirman la importancia y vigencia de estos principios y derechos.</w:t>
      </w:r>
    </w:p>
    <w:p w14:paraId="1594CF16" w14:textId="466E74FD" w:rsidR="00AC6D11" w:rsidRPr="00975033" w:rsidRDefault="00AC6D11" w:rsidP="00975033">
      <w:pPr>
        <w:pStyle w:val="Prrafodelista"/>
        <w:snapToGrid w:val="0"/>
        <w:spacing w:after="0" w:line="240" w:lineRule="auto"/>
        <w:ind w:left="0"/>
        <w:contextualSpacing w:val="0"/>
        <w:jc w:val="both"/>
        <w:rPr>
          <w:rFonts w:ascii="Verdana" w:hAnsi="Verdana"/>
          <w:sz w:val="20"/>
          <w:szCs w:val="20"/>
          <w:lang w:val="es-ES"/>
        </w:rPr>
      </w:pPr>
    </w:p>
    <w:p w14:paraId="1866E648" w14:textId="369FFE0E" w:rsidR="00407B05" w:rsidRPr="00975033" w:rsidRDefault="00F86784"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Pr>
          <w:rFonts w:ascii="Verdana" w:hAnsi="Verdana"/>
          <w:sz w:val="20"/>
          <w:szCs w:val="20"/>
          <w:lang w:val="es-ES"/>
        </w:rPr>
        <w:t>E</w:t>
      </w:r>
      <w:r w:rsidR="0040131B" w:rsidRPr="00975033">
        <w:rPr>
          <w:rFonts w:ascii="Verdana" w:hAnsi="Verdana"/>
          <w:sz w:val="20"/>
          <w:szCs w:val="20"/>
          <w:lang w:val="es-ES"/>
        </w:rPr>
        <w:t>l principio de progresividad y no regresividad de</w:t>
      </w:r>
      <w:r w:rsidR="007E7AD2" w:rsidRPr="00975033">
        <w:rPr>
          <w:rFonts w:ascii="Verdana" w:hAnsi="Verdana"/>
          <w:sz w:val="20"/>
          <w:szCs w:val="20"/>
          <w:lang w:val="es-ES"/>
        </w:rPr>
        <w:t xml:space="preserve"> los</w:t>
      </w:r>
      <w:r w:rsidR="0040131B" w:rsidRPr="00975033">
        <w:rPr>
          <w:rFonts w:ascii="Verdana" w:hAnsi="Verdana"/>
          <w:sz w:val="20"/>
          <w:szCs w:val="20"/>
          <w:lang w:val="es-ES"/>
        </w:rPr>
        <w:t xml:space="preserve"> derechos </w:t>
      </w:r>
      <w:r w:rsidR="007E7AD2" w:rsidRPr="00975033">
        <w:rPr>
          <w:rFonts w:ascii="Verdana" w:hAnsi="Verdana"/>
          <w:sz w:val="20"/>
          <w:szCs w:val="20"/>
          <w:lang w:val="es-ES"/>
        </w:rPr>
        <w:t>humanos</w:t>
      </w:r>
      <w:r w:rsidR="0040131B" w:rsidRPr="00975033">
        <w:rPr>
          <w:rFonts w:ascii="Verdana" w:hAnsi="Verdana"/>
          <w:sz w:val="20"/>
          <w:szCs w:val="20"/>
          <w:lang w:val="es-ES"/>
        </w:rPr>
        <w:t>, también conocido como prohibición de retroceso</w:t>
      </w:r>
      <w:r w:rsidR="007E7AD2" w:rsidRPr="00975033">
        <w:rPr>
          <w:rFonts w:ascii="Verdana" w:hAnsi="Verdana"/>
          <w:sz w:val="20"/>
          <w:szCs w:val="20"/>
          <w:lang w:val="es-ES"/>
        </w:rPr>
        <w:t xml:space="preserve"> de irreversibilidad de los beneficios o protección alcanzada</w:t>
      </w:r>
      <w:r w:rsidR="0040131B" w:rsidRPr="00975033">
        <w:rPr>
          <w:rFonts w:ascii="Verdana" w:hAnsi="Verdana"/>
          <w:sz w:val="20"/>
          <w:szCs w:val="20"/>
          <w:lang w:val="es-ES"/>
        </w:rPr>
        <w:t>, está plasmado en distintos instrumentos internacionales de protección de derechos humanos y ha sido objeto de diversas decisiones de la Corte</w:t>
      </w:r>
      <w:r w:rsidR="00407B05" w:rsidRPr="00975033">
        <w:rPr>
          <w:rFonts w:ascii="Verdana" w:hAnsi="Verdana"/>
          <w:sz w:val="20"/>
          <w:szCs w:val="20"/>
          <w:vertAlign w:val="superscript"/>
          <w:lang w:val="es-ES"/>
        </w:rPr>
        <w:footnoteReference w:id="22"/>
      </w:r>
      <w:r>
        <w:rPr>
          <w:rFonts w:ascii="Verdana" w:hAnsi="Verdana"/>
          <w:sz w:val="20"/>
          <w:szCs w:val="20"/>
          <w:lang w:val="es-ES"/>
        </w:rPr>
        <w:t xml:space="preserve"> </w:t>
      </w:r>
      <w:r>
        <w:rPr>
          <w:rFonts w:ascii="Verdana" w:hAnsi="Verdana"/>
          <w:sz w:val="20"/>
          <w:szCs w:val="20"/>
          <w:lang w:val="es-ES"/>
        </w:rPr>
        <w:lastRenderedPageBreak/>
        <w:t xml:space="preserve">que configuran, por su reiteración, no solo en un </w:t>
      </w:r>
      <w:r w:rsidR="000D6BE2">
        <w:rPr>
          <w:rFonts w:ascii="Verdana" w:hAnsi="Verdana"/>
          <w:sz w:val="20"/>
          <w:szCs w:val="20"/>
          <w:lang w:val="es-ES"/>
        </w:rPr>
        <w:t>precedente,</w:t>
      </w:r>
      <w:r>
        <w:rPr>
          <w:rFonts w:ascii="Verdana" w:hAnsi="Verdana"/>
          <w:sz w:val="20"/>
          <w:szCs w:val="20"/>
          <w:lang w:val="es-ES"/>
        </w:rPr>
        <w:t xml:space="preserve"> sino </w:t>
      </w:r>
      <w:r w:rsidR="000D6BE2">
        <w:rPr>
          <w:rFonts w:ascii="Verdana" w:hAnsi="Verdana"/>
          <w:sz w:val="20"/>
          <w:szCs w:val="20"/>
          <w:lang w:val="es-ES"/>
        </w:rPr>
        <w:t xml:space="preserve">que </w:t>
      </w:r>
      <w:r>
        <w:rPr>
          <w:rFonts w:ascii="Verdana" w:hAnsi="Verdana"/>
          <w:sz w:val="20"/>
          <w:szCs w:val="20"/>
          <w:lang w:val="es-ES"/>
        </w:rPr>
        <w:t xml:space="preserve">ya </w:t>
      </w:r>
      <w:r w:rsidR="000D6BE2">
        <w:rPr>
          <w:rFonts w:ascii="Verdana" w:hAnsi="Verdana"/>
          <w:sz w:val="20"/>
          <w:szCs w:val="20"/>
          <w:lang w:val="es-ES"/>
        </w:rPr>
        <w:t xml:space="preserve">configura </w:t>
      </w:r>
      <w:r>
        <w:rPr>
          <w:rFonts w:ascii="Verdana" w:hAnsi="Verdana"/>
          <w:sz w:val="20"/>
          <w:szCs w:val="20"/>
          <w:lang w:val="es-ES"/>
        </w:rPr>
        <w:t>una jurisprudencia constante</w:t>
      </w:r>
      <w:r w:rsidR="000D6BE2">
        <w:rPr>
          <w:rFonts w:ascii="Verdana" w:hAnsi="Verdana"/>
          <w:sz w:val="20"/>
          <w:szCs w:val="20"/>
          <w:lang w:val="es-ES"/>
        </w:rPr>
        <w:t xml:space="preserve"> y consistente.</w:t>
      </w:r>
    </w:p>
    <w:p w14:paraId="3E9D1DB1" w14:textId="77777777" w:rsidR="00FC2501" w:rsidRPr="00975033" w:rsidRDefault="00FC2501" w:rsidP="00975033">
      <w:pPr>
        <w:snapToGrid w:val="0"/>
        <w:jc w:val="both"/>
        <w:rPr>
          <w:rFonts w:ascii="Verdana" w:hAnsi="Verdana"/>
          <w:sz w:val="20"/>
          <w:szCs w:val="20"/>
          <w:lang w:val="es-ES"/>
        </w:rPr>
      </w:pPr>
    </w:p>
    <w:p w14:paraId="2C88D85B" w14:textId="77777777" w:rsidR="00774773" w:rsidRPr="00975033" w:rsidRDefault="00FC2501"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 xml:space="preserve">La Convención Americana, en su artículo 26, </w:t>
      </w:r>
      <w:r w:rsidR="00B122D0" w:rsidRPr="00975033">
        <w:rPr>
          <w:rFonts w:ascii="Verdana" w:hAnsi="Verdana"/>
          <w:sz w:val="20"/>
          <w:szCs w:val="20"/>
          <w:lang w:val="es-ES"/>
        </w:rPr>
        <w:t>dispone</w:t>
      </w:r>
      <w:r w:rsidRPr="00975033">
        <w:rPr>
          <w:rFonts w:ascii="Verdana" w:hAnsi="Verdana"/>
          <w:sz w:val="20"/>
          <w:szCs w:val="20"/>
          <w:lang w:val="es-ES"/>
        </w:rPr>
        <w:t xml:space="preserve"> que l</w:t>
      </w:r>
      <w:r w:rsidR="00B122D0" w:rsidRPr="00975033">
        <w:rPr>
          <w:rFonts w:ascii="Verdana" w:hAnsi="Verdana"/>
          <w:sz w:val="20"/>
          <w:szCs w:val="20"/>
          <w:lang w:val="es-ES"/>
        </w:rPr>
        <w:t>os Estados deben buscar, progresivamente, la plena realización de los “derechos que se derivan de las normas económicas, sociales y sobre educación, ciencia y cultura, contenidas en la Carta de la Organización de los Estados Americanos”</w:t>
      </w:r>
      <w:r w:rsidR="00B122D0" w:rsidRPr="00975033">
        <w:rPr>
          <w:rFonts w:ascii="Verdana" w:hAnsi="Verdana"/>
          <w:sz w:val="20"/>
          <w:szCs w:val="20"/>
          <w:vertAlign w:val="superscript"/>
          <w:lang w:val="es-ES"/>
        </w:rPr>
        <w:footnoteReference w:id="23"/>
      </w:r>
      <w:r w:rsidR="00B122D0" w:rsidRPr="00975033">
        <w:rPr>
          <w:rFonts w:ascii="Verdana" w:hAnsi="Verdana"/>
          <w:sz w:val="20"/>
          <w:szCs w:val="20"/>
          <w:lang w:val="es-ES"/>
        </w:rPr>
        <w:t>.</w:t>
      </w:r>
      <w:r w:rsidR="0005510E" w:rsidRPr="00975033">
        <w:rPr>
          <w:rFonts w:ascii="Verdana" w:hAnsi="Verdana"/>
          <w:sz w:val="20"/>
          <w:szCs w:val="20"/>
          <w:lang w:val="es-ES"/>
        </w:rPr>
        <w:t xml:space="preserve"> </w:t>
      </w:r>
    </w:p>
    <w:p w14:paraId="18E0F8B9" w14:textId="77777777" w:rsidR="00774773" w:rsidRPr="00975033" w:rsidRDefault="00774773" w:rsidP="00975033">
      <w:pPr>
        <w:pStyle w:val="Prrafodelista"/>
        <w:snapToGrid w:val="0"/>
        <w:spacing w:after="0" w:line="240" w:lineRule="auto"/>
        <w:ind w:left="0"/>
        <w:contextualSpacing w:val="0"/>
        <w:jc w:val="both"/>
        <w:rPr>
          <w:rFonts w:ascii="Verdana" w:hAnsi="Verdana"/>
          <w:sz w:val="20"/>
          <w:szCs w:val="20"/>
          <w:lang w:val="es-ES"/>
        </w:rPr>
      </w:pPr>
    </w:p>
    <w:p w14:paraId="09B286A2" w14:textId="28A35737" w:rsidR="00D646CD" w:rsidRPr="00975033" w:rsidRDefault="00A264CB"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En el mismo sentido, l</w:t>
      </w:r>
      <w:r w:rsidR="00D646CD" w:rsidRPr="00975033">
        <w:rPr>
          <w:rFonts w:ascii="Verdana" w:hAnsi="Verdana"/>
          <w:sz w:val="20"/>
          <w:szCs w:val="20"/>
          <w:lang w:val="es-ES"/>
        </w:rPr>
        <w:t>a obligación de progresividad</w:t>
      </w:r>
      <w:r w:rsidRPr="00975033">
        <w:rPr>
          <w:rFonts w:ascii="Verdana" w:hAnsi="Verdana"/>
          <w:sz w:val="20"/>
          <w:szCs w:val="20"/>
          <w:lang w:val="es-ES"/>
        </w:rPr>
        <w:t xml:space="preserve"> está</w:t>
      </w:r>
      <w:r w:rsidR="00D646CD" w:rsidRPr="00975033">
        <w:rPr>
          <w:rFonts w:ascii="Verdana" w:hAnsi="Verdana"/>
          <w:sz w:val="20"/>
          <w:szCs w:val="20"/>
          <w:lang w:val="es-ES"/>
        </w:rPr>
        <w:t xml:space="preserve"> establecida en el Protocolo de San Salvador, ratificado por Brasil en 1996</w:t>
      </w:r>
      <w:r w:rsidR="00DC0C98" w:rsidRPr="00975033">
        <w:rPr>
          <w:rFonts w:ascii="Verdana" w:hAnsi="Verdana"/>
          <w:sz w:val="20"/>
          <w:szCs w:val="20"/>
          <w:vertAlign w:val="superscript"/>
          <w:lang w:val="es-ES"/>
        </w:rPr>
        <w:footnoteReference w:id="24"/>
      </w:r>
      <w:r w:rsidR="00D646CD" w:rsidRPr="00975033">
        <w:rPr>
          <w:rFonts w:ascii="Verdana" w:hAnsi="Verdana"/>
          <w:sz w:val="20"/>
          <w:szCs w:val="20"/>
          <w:lang w:val="es-ES"/>
        </w:rPr>
        <w:t xml:space="preserve">, </w:t>
      </w:r>
      <w:r w:rsidRPr="00975033">
        <w:rPr>
          <w:rFonts w:ascii="Verdana" w:hAnsi="Verdana"/>
          <w:sz w:val="20"/>
          <w:szCs w:val="20"/>
          <w:lang w:val="es-ES"/>
        </w:rPr>
        <w:t xml:space="preserve">de modo </w:t>
      </w:r>
      <w:r w:rsidR="00F131BB" w:rsidRPr="00975033">
        <w:rPr>
          <w:rFonts w:ascii="Verdana" w:hAnsi="Verdana"/>
          <w:sz w:val="20"/>
          <w:szCs w:val="20"/>
          <w:lang w:val="es-ES"/>
        </w:rPr>
        <w:t xml:space="preserve">que </w:t>
      </w:r>
      <w:r w:rsidR="00DC0C98" w:rsidRPr="00975033">
        <w:rPr>
          <w:rFonts w:ascii="Verdana" w:hAnsi="Verdana"/>
          <w:sz w:val="20"/>
          <w:szCs w:val="20"/>
          <w:lang w:val="es-ES"/>
        </w:rPr>
        <w:t xml:space="preserve">se desprende </w:t>
      </w:r>
      <w:r w:rsidR="00F131BB" w:rsidRPr="00975033">
        <w:rPr>
          <w:rFonts w:ascii="Verdana" w:hAnsi="Verdana"/>
          <w:sz w:val="20"/>
          <w:szCs w:val="20"/>
          <w:lang w:val="es-ES"/>
        </w:rPr>
        <w:t xml:space="preserve">como consecuencia </w:t>
      </w:r>
      <w:r w:rsidR="00DC0C98" w:rsidRPr="00975033">
        <w:rPr>
          <w:rFonts w:ascii="Verdana" w:hAnsi="Verdana"/>
          <w:sz w:val="20"/>
          <w:szCs w:val="20"/>
          <w:lang w:val="es-ES"/>
        </w:rPr>
        <w:t xml:space="preserve">de esa normativa </w:t>
      </w:r>
      <w:r w:rsidRPr="00975033">
        <w:rPr>
          <w:rFonts w:ascii="Verdana" w:hAnsi="Verdana"/>
          <w:sz w:val="20"/>
          <w:szCs w:val="20"/>
          <w:lang w:val="es-ES"/>
        </w:rPr>
        <w:t>que</w:t>
      </w:r>
      <w:r w:rsidR="00D646CD" w:rsidRPr="00975033">
        <w:rPr>
          <w:rFonts w:ascii="Verdana" w:hAnsi="Verdana"/>
          <w:sz w:val="20"/>
          <w:szCs w:val="20"/>
          <w:lang w:val="es-ES"/>
        </w:rPr>
        <w:t xml:space="preserve"> le está vedado a</w:t>
      </w:r>
      <w:r w:rsidR="00DC0C98" w:rsidRPr="00975033">
        <w:rPr>
          <w:rFonts w:ascii="Verdana" w:hAnsi="Verdana"/>
          <w:sz w:val="20"/>
          <w:szCs w:val="20"/>
          <w:lang w:val="es-ES"/>
        </w:rPr>
        <w:t xml:space="preserve"> cualquier</w:t>
      </w:r>
      <w:r w:rsidR="00D646CD" w:rsidRPr="00975033">
        <w:rPr>
          <w:rFonts w:ascii="Verdana" w:hAnsi="Verdana"/>
          <w:sz w:val="20"/>
          <w:szCs w:val="20"/>
          <w:lang w:val="es-ES"/>
        </w:rPr>
        <w:t xml:space="preserve"> Estado</w:t>
      </w:r>
      <w:r w:rsidR="00DC0C98" w:rsidRPr="00975033">
        <w:rPr>
          <w:rFonts w:ascii="Verdana" w:hAnsi="Verdana"/>
          <w:sz w:val="20"/>
          <w:szCs w:val="20"/>
          <w:lang w:val="es-ES"/>
        </w:rPr>
        <w:t xml:space="preserve"> Parte</w:t>
      </w:r>
      <w:r w:rsidR="00D646CD" w:rsidRPr="00975033">
        <w:rPr>
          <w:rFonts w:ascii="Verdana" w:hAnsi="Verdana"/>
          <w:sz w:val="20"/>
          <w:szCs w:val="20"/>
          <w:lang w:val="es-ES"/>
        </w:rPr>
        <w:t xml:space="preserve"> adoptar políticas, medidas</w:t>
      </w:r>
      <w:r w:rsidR="00DC0C98" w:rsidRPr="00975033">
        <w:rPr>
          <w:rFonts w:ascii="Verdana" w:hAnsi="Verdana"/>
          <w:sz w:val="20"/>
          <w:szCs w:val="20"/>
          <w:lang w:val="es-ES"/>
        </w:rPr>
        <w:t xml:space="preserve"> administrativas</w:t>
      </w:r>
      <w:r w:rsidR="00D646CD" w:rsidRPr="00975033">
        <w:rPr>
          <w:rFonts w:ascii="Verdana" w:hAnsi="Verdana"/>
          <w:sz w:val="20"/>
          <w:szCs w:val="20"/>
          <w:lang w:val="es-ES"/>
        </w:rPr>
        <w:t xml:space="preserve">, y sancionar normas jurídicas que empeoren la situación de los derechos económicos, sociales y culturales de </w:t>
      </w:r>
      <w:r w:rsidR="008B7BC4" w:rsidRPr="00975033">
        <w:rPr>
          <w:rFonts w:ascii="Verdana" w:hAnsi="Verdana"/>
          <w:sz w:val="20"/>
          <w:szCs w:val="20"/>
          <w:lang w:val="es-ES"/>
        </w:rPr>
        <w:t>su</w:t>
      </w:r>
      <w:r w:rsidR="00D646CD" w:rsidRPr="00975033">
        <w:rPr>
          <w:rFonts w:ascii="Verdana" w:hAnsi="Verdana"/>
          <w:sz w:val="20"/>
          <w:szCs w:val="20"/>
          <w:lang w:val="es-ES"/>
        </w:rPr>
        <w:t xml:space="preserve"> población</w:t>
      </w:r>
      <w:r w:rsidR="00A634E4" w:rsidRPr="00975033">
        <w:rPr>
          <w:rFonts w:ascii="Verdana" w:hAnsi="Verdana"/>
          <w:sz w:val="20"/>
          <w:szCs w:val="20"/>
          <w:lang w:val="es-ES"/>
        </w:rPr>
        <w:t>, sin una justificación específica y adecuada</w:t>
      </w:r>
      <w:r w:rsidR="00D646CD" w:rsidRPr="00975033">
        <w:rPr>
          <w:rFonts w:ascii="Verdana" w:hAnsi="Verdana"/>
          <w:sz w:val="20"/>
          <w:szCs w:val="20"/>
          <w:lang w:val="es-ES"/>
        </w:rPr>
        <w:t>.</w:t>
      </w:r>
    </w:p>
    <w:p w14:paraId="20E3BBE3" w14:textId="77777777" w:rsidR="008B7BC4" w:rsidRPr="00975033" w:rsidRDefault="008B7BC4" w:rsidP="00975033">
      <w:pPr>
        <w:pStyle w:val="Prrafodelista"/>
        <w:snapToGrid w:val="0"/>
        <w:spacing w:after="0" w:line="240" w:lineRule="auto"/>
        <w:contextualSpacing w:val="0"/>
        <w:rPr>
          <w:rFonts w:ascii="Verdana" w:hAnsi="Verdana"/>
          <w:sz w:val="20"/>
          <w:szCs w:val="20"/>
          <w:lang w:val="es-ES"/>
        </w:rPr>
      </w:pPr>
    </w:p>
    <w:p w14:paraId="5BABAE6F" w14:textId="0A33D362" w:rsidR="00890F89" w:rsidRPr="00975033" w:rsidRDefault="00890F89"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El principio de progresividad también se encuentra contemplado en Pacto Internacional de los Derechos Económicos, Sociales y Culturales (</w:t>
      </w:r>
      <w:r w:rsidR="00AE56A0" w:rsidRPr="00975033">
        <w:rPr>
          <w:rFonts w:ascii="Verdana" w:hAnsi="Verdana"/>
          <w:sz w:val="20"/>
          <w:szCs w:val="20"/>
          <w:lang w:val="es-ES"/>
        </w:rPr>
        <w:t>en adelante, “PIDESC”)</w:t>
      </w:r>
      <w:r w:rsidRPr="00975033">
        <w:rPr>
          <w:rFonts w:ascii="Verdana" w:hAnsi="Verdana"/>
          <w:sz w:val="20"/>
          <w:szCs w:val="20"/>
          <w:lang w:val="es-ES"/>
        </w:rPr>
        <w:t xml:space="preserve">, </w:t>
      </w:r>
      <w:r w:rsidR="00E96053" w:rsidRPr="00975033">
        <w:rPr>
          <w:rFonts w:ascii="Verdana" w:hAnsi="Verdana"/>
          <w:sz w:val="20"/>
          <w:szCs w:val="20"/>
          <w:lang w:val="es-ES"/>
        </w:rPr>
        <w:t xml:space="preserve">que </w:t>
      </w:r>
      <w:r w:rsidRPr="00975033">
        <w:rPr>
          <w:rFonts w:ascii="Verdana" w:hAnsi="Verdana"/>
          <w:sz w:val="20"/>
          <w:szCs w:val="20"/>
          <w:lang w:val="es-ES"/>
        </w:rPr>
        <w:t>establece</w:t>
      </w:r>
      <w:r w:rsidR="00CB3134" w:rsidRPr="00975033">
        <w:rPr>
          <w:rFonts w:ascii="Verdana" w:hAnsi="Verdana"/>
          <w:sz w:val="20"/>
          <w:szCs w:val="20"/>
          <w:lang w:val="es-ES"/>
        </w:rPr>
        <w:t xml:space="preserve"> que</w:t>
      </w:r>
      <w:r w:rsidRPr="00975033">
        <w:rPr>
          <w:rFonts w:ascii="Verdana" w:hAnsi="Verdana"/>
          <w:sz w:val="20"/>
          <w:szCs w:val="20"/>
          <w:lang w:val="es-ES"/>
        </w:rPr>
        <w:t>: “</w:t>
      </w:r>
      <w:r w:rsidR="00E96053" w:rsidRPr="00975033">
        <w:rPr>
          <w:rFonts w:ascii="Verdana" w:hAnsi="Verdana"/>
          <w:sz w:val="20"/>
          <w:szCs w:val="20"/>
          <w:lang w:val="es-ES"/>
        </w:rPr>
        <w:t>[</w:t>
      </w:r>
      <w:r w:rsidRPr="00975033">
        <w:rPr>
          <w:rFonts w:ascii="Verdana" w:hAnsi="Verdana"/>
          <w:sz w:val="20"/>
          <w:szCs w:val="20"/>
          <w:lang w:val="es-ES"/>
        </w:rPr>
        <w:t>…</w:t>
      </w:r>
      <w:r w:rsidR="00E96053" w:rsidRPr="00975033">
        <w:rPr>
          <w:rFonts w:ascii="Verdana" w:hAnsi="Verdana"/>
          <w:sz w:val="20"/>
          <w:szCs w:val="20"/>
          <w:lang w:val="es-ES"/>
        </w:rPr>
        <w:t>]</w:t>
      </w:r>
      <w:r w:rsidRPr="00975033">
        <w:rPr>
          <w:rFonts w:ascii="Verdana" w:hAnsi="Verdana"/>
          <w:sz w:val="20"/>
          <w:szCs w:val="20"/>
          <w:lang w:val="es-ES"/>
        </w:rPr>
        <w:t xml:space="preserve"> cada uno de los </w:t>
      </w:r>
      <w:r w:rsidR="00CB3134" w:rsidRPr="00975033">
        <w:rPr>
          <w:rFonts w:ascii="Verdana" w:hAnsi="Verdana"/>
          <w:sz w:val="20"/>
          <w:szCs w:val="20"/>
          <w:lang w:val="es-ES"/>
        </w:rPr>
        <w:t>E</w:t>
      </w:r>
      <w:r w:rsidRPr="00975033">
        <w:rPr>
          <w:rFonts w:ascii="Verdana" w:hAnsi="Verdana"/>
          <w:sz w:val="20"/>
          <w:szCs w:val="20"/>
          <w:lang w:val="es-ES"/>
        </w:rPr>
        <w:t>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00E96053" w:rsidRPr="00975033">
        <w:rPr>
          <w:rFonts w:ascii="Verdana" w:hAnsi="Verdana"/>
          <w:sz w:val="20"/>
          <w:szCs w:val="20"/>
          <w:vertAlign w:val="superscript"/>
          <w:lang w:val="es-ES"/>
        </w:rPr>
        <w:t xml:space="preserve"> </w:t>
      </w:r>
      <w:r w:rsidR="00E96053" w:rsidRPr="00975033">
        <w:rPr>
          <w:rFonts w:ascii="Verdana" w:hAnsi="Verdana"/>
          <w:sz w:val="20"/>
          <w:szCs w:val="20"/>
          <w:vertAlign w:val="superscript"/>
          <w:lang w:val="es-ES"/>
        </w:rPr>
        <w:footnoteReference w:id="25"/>
      </w:r>
      <w:r w:rsidR="00E96053" w:rsidRPr="00975033">
        <w:rPr>
          <w:rFonts w:ascii="Verdana" w:hAnsi="Verdana"/>
          <w:sz w:val="20"/>
          <w:szCs w:val="20"/>
          <w:lang w:val="es-ES"/>
        </w:rPr>
        <w:t>.</w:t>
      </w:r>
      <w:r w:rsidRPr="00975033">
        <w:rPr>
          <w:rFonts w:ascii="Verdana" w:hAnsi="Verdana"/>
          <w:sz w:val="20"/>
          <w:szCs w:val="20"/>
          <w:lang w:val="es-ES"/>
        </w:rPr>
        <w:t xml:space="preserve"> </w:t>
      </w:r>
    </w:p>
    <w:p w14:paraId="644FB04A" w14:textId="77777777" w:rsidR="00890F89" w:rsidRPr="00975033" w:rsidRDefault="00890F89" w:rsidP="00975033">
      <w:pPr>
        <w:pStyle w:val="Prrafodelista"/>
        <w:snapToGrid w:val="0"/>
        <w:spacing w:after="0" w:line="240" w:lineRule="auto"/>
        <w:contextualSpacing w:val="0"/>
        <w:rPr>
          <w:rFonts w:ascii="Verdana" w:hAnsi="Verdana"/>
          <w:sz w:val="20"/>
          <w:szCs w:val="20"/>
          <w:lang w:val="es-ES"/>
        </w:rPr>
      </w:pPr>
    </w:p>
    <w:p w14:paraId="602AEA29" w14:textId="29A9450D" w:rsidR="00136A81" w:rsidRPr="00975033" w:rsidRDefault="00AE56A0"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 xml:space="preserve">Al interpretar el PIDESC, </w:t>
      </w:r>
      <w:r w:rsidR="004E5334" w:rsidRPr="00975033">
        <w:rPr>
          <w:rFonts w:ascii="Verdana" w:hAnsi="Verdana"/>
          <w:sz w:val="20"/>
          <w:szCs w:val="20"/>
          <w:lang w:val="es-ES"/>
        </w:rPr>
        <w:t xml:space="preserve">en diciembre de 1990, </w:t>
      </w:r>
      <w:r w:rsidRPr="00975033">
        <w:rPr>
          <w:rFonts w:ascii="Verdana" w:hAnsi="Verdana"/>
          <w:sz w:val="20"/>
          <w:szCs w:val="20"/>
          <w:lang w:val="es-ES"/>
        </w:rPr>
        <w:t>e</w:t>
      </w:r>
      <w:r w:rsidR="00A634E4" w:rsidRPr="00975033">
        <w:rPr>
          <w:rFonts w:ascii="Verdana" w:hAnsi="Verdana"/>
          <w:sz w:val="20"/>
          <w:szCs w:val="20"/>
          <w:lang w:val="es-ES"/>
        </w:rPr>
        <w:t>l Comité de Derechos Económicos, Sociales y Culturales de las Naciones Unidas</w:t>
      </w:r>
      <w:r w:rsidRPr="00975033">
        <w:rPr>
          <w:rFonts w:ascii="Verdana" w:hAnsi="Verdana"/>
          <w:sz w:val="20"/>
          <w:szCs w:val="20"/>
          <w:lang w:val="es-ES"/>
        </w:rPr>
        <w:t xml:space="preserve"> (en adelante, el </w:t>
      </w:r>
      <w:r w:rsidR="004E5334" w:rsidRPr="00975033">
        <w:rPr>
          <w:rFonts w:ascii="Verdana" w:hAnsi="Verdana"/>
          <w:sz w:val="20"/>
          <w:szCs w:val="20"/>
          <w:lang w:val="es-ES"/>
        </w:rPr>
        <w:t>“</w:t>
      </w:r>
      <w:r w:rsidRPr="00975033">
        <w:rPr>
          <w:rFonts w:ascii="Verdana" w:hAnsi="Verdana"/>
          <w:sz w:val="20"/>
          <w:szCs w:val="20"/>
          <w:lang w:val="es-ES"/>
        </w:rPr>
        <w:t>Comité DESC”)</w:t>
      </w:r>
      <w:r w:rsidR="00A634E4" w:rsidRPr="00975033">
        <w:rPr>
          <w:rFonts w:ascii="Verdana" w:hAnsi="Verdana"/>
          <w:sz w:val="20"/>
          <w:szCs w:val="20"/>
          <w:lang w:val="es-ES"/>
        </w:rPr>
        <w:t xml:space="preserve"> ha</w:t>
      </w:r>
      <w:r w:rsidR="004E5334" w:rsidRPr="00975033">
        <w:rPr>
          <w:rFonts w:ascii="Verdana" w:hAnsi="Verdana"/>
          <w:sz w:val="20"/>
          <w:szCs w:val="20"/>
          <w:lang w:val="es-ES"/>
        </w:rPr>
        <w:t>bía</w:t>
      </w:r>
      <w:r w:rsidR="00A634E4" w:rsidRPr="00975033">
        <w:rPr>
          <w:rFonts w:ascii="Verdana" w:hAnsi="Verdana"/>
          <w:sz w:val="20"/>
          <w:szCs w:val="20"/>
          <w:lang w:val="es-ES"/>
        </w:rPr>
        <w:t xml:space="preserve"> señalado que “</w:t>
      </w:r>
      <w:r w:rsidRPr="00975033">
        <w:rPr>
          <w:rFonts w:ascii="Verdana" w:hAnsi="Verdana"/>
          <w:sz w:val="20"/>
          <w:szCs w:val="20"/>
          <w:lang w:val="es-ES"/>
        </w:rPr>
        <w:t>todas las medidas de carácter deliberadamente retroactivo en este aspecto requerirán la consideración más cuidadosa y deberán justificarse plenamente por referencia a la totalidad de los derechos previstos en el Pacto y en el contexto del aprovechamiento pleno del máximo de los recursos de que se disponga</w:t>
      </w:r>
      <w:r w:rsidR="00A634E4" w:rsidRPr="00975033">
        <w:rPr>
          <w:rFonts w:ascii="Verdana" w:hAnsi="Verdana"/>
          <w:sz w:val="20"/>
          <w:szCs w:val="20"/>
          <w:lang w:val="es-ES"/>
        </w:rPr>
        <w:t>”</w:t>
      </w:r>
      <w:r w:rsidR="00A634E4" w:rsidRPr="00975033">
        <w:rPr>
          <w:rFonts w:ascii="Verdana" w:hAnsi="Verdana"/>
          <w:sz w:val="20"/>
          <w:szCs w:val="20"/>
          <w:vertAlign w:val="superscript"/>
          <w:lang w:val="es-ES"/>
        </w:rPr>
        <w:footnoteReference w:id="26"/>
      </w:r>
      <w:r w:rsidR="00A634E4" w:rsidRPr="00975033">
        <w:rPr>
          <w:rFonts w:ascii="Verdana" w:hAnsi="Verdana"/>
          <w:sz w:val="20"/>
          <w:szCs w:val="20"/>
          <w:lang w:val="es-ES"/>
        </w:rPr>
        <w:t>.</w:t>
      </w:r>
      <w:r w:rsidR="004E5334" w:rsidRPr="00975033">
        <w:rPr>
          <w:rFonts w:ascii="Verdana" w:hAnsi="Verdana"/>
          <w:sz w:val="20"/>
          <w:szCs w:val="20"/>
          <w:lang w:val="es-ES"/>
        </w:rPr>
        <w:t xml:space="preserve"> Más recientemente, el Comité DESC reiteró dicha interpretación, al considerar que</w:t>
      </w:r>
      <w:r w:rsidR="00E442D0" w:rsidRPr="00975033">
        <w:rPr>
          <w:rFonts w:ascii="Verdana" w:hAnsi="Verdana"/>
          <w:sz w:val="20"/>
          <w:szCs w:val="20"/>
          <w:lang w:val="es-ES"/>
        </w:rPr>
        <w:t xml:space="preserve"> </w:t>
      </w:r>
      <w:r w:rsidR="004E5334" w:rsidRPr="00975033">
        <w:rPr>
          <w:rFonts w:ascii="Verdana" w:hAnsi="Verdana"/>
          <w:sz w:val="20"/>
          <w:szCs w:val="20"/>
          <w:lang w:val="es-ES"/>
        </w:rPr>
        <w:t>“</w:t>
      </w:r>
      <w:r w:rsidR="00E442D0" w:rsidRPr="00975033">
        <w:rPr>
          <w:rFonts w:ascii="Verdana" w:hAnsi="Verdana"/>
          <w:sz w:val="20"/>
          <w:szCs w:val="20"/>
          <w:lang w:val="es-ES"/>
        </w:rPr>
        <w:t>los Estados partes deberían evitar adoptar deliberadamente cualquier medida regresiva sin una cuidadosa consideración y justificación”</w:t>
      </w:r>
      <w:r w:rsidR="004E5334" w:rsidRPr="00975033">
        <w:rPr>
          <w:rFonts w:ascii="Verdana" w:hAnsi="Verdana"/>
          <w:sz w:val="20"/>
          <w:szCs w:val="20"/>
          <w:vertAlign w:val="superscript"/>
          <w:lang w:val="es-ES"/>
        </w:rPr>
        <w:t xml:space="preserve"> </w:t>
      </w:r>
      <w:r w:rsidR="004E5334" w:rsidRPr="00975033">
        <w:rPr>
          <w:rFonts w:ascii="Verdana" w:hAnsi="Verdana"/>
          <w:sz w:val="20"/>
          <w:szCs w:val="20"/>
          <w:vertAlign w:val="superscript"/>
          <w:lang w:val="es-ES"/>
        </w:rPr>
        <w:footnoteReference w:id="27"/>
      </w:r>
      <w:r w:rsidR="00E442D0" w:rsidRPr="00975033">
        <w:rPr>
          <w:rFonts w:ascii="Verdana" w:hAnsi="Verdana"/>
          <w:sz w:val="20"/>
          <w:szCs w:val="20"/>
          <w:lang w:val="es-ES"/>
        </w:rPr>
        <w:t xml:space="preserve">.  </w:t>
      </w:r>
    </w:p>
    <w:p w14:paraId="69661A95" w14:textId="77777777" w:rsidR="00803BBF" w:rsidRPr="00975033" w:rsidRDefault="00803BBF" w:rsidP="00975033">
      <w:pPr>
        <w:snapToGrid w:val="0"/>
        <w:jc w:val="both"/>
        <w:rPr>
          <w:rFonts w:ascii="Verdana" w:hAnsi="Verdana"/>
          <w:sz w:val="20"/>
          <w:szCs w:val="20"/>
          <w:lang w:val="es-ES"/>
        </w:rPr>
      </w:pPr>
    </w:p>
    <w:p w14:paraId="0D16B15B" w14:textId="264EDBF3" w:rsidR="00803BBF" w:rsidRPr="00975033" w:rsidRDefault="00774773"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 xml:space="preserve">La jurisprudencia de la Corte Interamericana, </w:t>
      </w:r>
      <w:r w:rsidR="005F1953" w:rsidRPr="00975033">
        <w:rPr>
          <w:rFonts w:ascii="Verdana" w:hAnsi="Verdana"/>
          <w:sz w:val="20"/>
          <w:szCs w:val="20"/>
          <w:lang w:val="es-ES"/>
        </w:rPr>
        <w:t xml:space="preserve">desde el caso </w:t>
      </w:r>
      <w:r w:rsidR="000709F9" w:rsidRPr="00975033">
        <w:rPr>
          <w:rFonts w:ascii="Verdana" w:hAnsi="Verdana"/>
          <w:i/>
          <w:iCs/>
          <w:sz w:val="20"/>
          <w:szCs w:val="20"/>
          <w:lang w:val="es-ES"/>
        </w:rPr>
        <w:t>Poblete</w:t>
      </w:r>
      <w:r w:rsidR="009725A6" w:rsidRPr="00975033">
        <w:rPr>
          <w:rFonts w:ascii="Verdana" w:hAnsi="Verdana"/>
          <w:i/>
          <w:iCs/>
          <w:sz w:val="20"/>
          <w:szCs w:val="20"/>
          <w:lang w:val="es-ES"/>
        </w:rPr>
        <w:t xml:space="preserve"> Vilches y </w:t>
      </w:r>
      <w:r w:rsidR="00A50B19" w:rsidRPr="00975033">
        <w:rPr>
          <w:rFonts w:ascii="Verdana" w:hAnsi="Verdana"/>
          <w:i/>
          <w:iCs/>
          <w:sz w:val="20"/>
          <w:szCs w:val="20"/>
          <w:lang w:val="es-ES"/>
        </w:rPr>
        <w:t>o</w:t>
      </w:r>
      <w:r w:rsidR="009725A6" w:rsidRPr="00975033">
        <w:rPr>
          <w:rFonts w:ascii="Verdana" w:hAnsi="Verdana"/>
          <w:i/>
          <w:iCs/>
          <w:sz w:val="20"/>
          <w:szCs w:val="20"/>
          <w:lang w:val="es-ES"/>
        </w:rPr>
        <w:t>tros Vs. Chile</w:t>
      </w:r>
      <w:r w:rsidR="000709F9" w:rsidRPr="00975033">
        <w:rPr>
          <w:rFonts w:ascii="Verdana" w:hAnsi="Verdana"/>
          <w:sz w:val="20"/>
          <w:szCs w:val="20"/>
          <w:lang w:val="es-ES"/>
        </w:rPr>
        <w:t xml:space="preserve"> </w:t>
      </w:r>
      <w:r w:rsidRPr="00975033">
        <w:rPr>
          <w:rFonts w:ascii="Verdana" w:hAnsi="Verdana"/>
          <w:sz w:val="20"/>
          <w:szCs w:val="20"/>
          <w:lang w:val="es-ES"/>
        </w:rPr>
        <w:t>ha sido constante en el sentido de que se pueden desprender dos tipos de obligaciones del artículo 26: una de exigibilidad inmediata</w:t>
      </w:r>
      <w:r w:rsidR="00471AAD" w:rsidRPr="00975033">
        <w:rPr>
          <w:rFonts w:ascii="Verdana" w:hAnsi="Verdana"/>
          <w:sz w:val="20"/>
          <w:szCs w:val="20"/>
          <w:lang w:val="es-ES"/>
        </w:rPr>
        <w:t>, la cual implica que cada Estado debe asegurar el ejercicio de los DESCA sin discriminación, así como adoptar medidas eficaces para su plena realización</w:t>
      </w:r>
      <w:r w:rsidR="00471AAD" w:rsidRPr="00975033">
        <w:rPr>
          <w:rFonts w:ascii="Verdana" w:hAnsi="Verdana"/>
          <w:sz w:val="20"/>
          <w:szCs w:val="20"/>
          <w:vertAlign w:val="superscript"/>
          <w:lang w:val="es-ES"/>
        </w:rPr>
        <w:footnoteReference w:id="28"/>
      </w:r>
      <w:r w:rsidR="00471AAD" w:rsidRPr="00975033">
        <w:rPr>
          <w:rFonts w:ascii="Verdana" w:hAnsi="Verdana"/>
          <w:sz w:val="20"/>
          <w:szCs w:val="20"/>
          <w:lang w:val="es-ES"/>
        </w:rPr>
        <w:t xml:space="preserve">, </w:t>
      </w:r>
      <w:r w:rsidRPr="00975033">
        <w:rPr>
          <w:rFonts w:ascii="Verdana" w:hAnsi="Verdana"/>
          <w:sz w:val="20"/>
          <w:szCs w:val="20"/>
          <w:lang w:val="es-ES"/>
        </w:rPr>
        <w:t>y</w:t>
      </w:r>
      <w:r w:rsidR="000D6BE2">
        <w:rPr>
          <w:rFonts w:ascii="Verdana" w:hAnsi="Verdana"/>
          <w:sz w:val="20"/>
          <w:szCs w:val="20"/>
          <w:lang w:val="es-ES"/>
        </w:rPr>
        <w:t>,</w:t>
      </w:r>
      <w:r w:rsidRPr="00975033">
        <w:rPr>
          <w:rFonts w:ascii="Verdana" w:hAnsi="Verdana"/>
          <w:sz w:val="20"/>
          <w:szCs w:val="20"/>
          <w:lang w:val="es-ES"/>
        </w:rPr>
        <w:t xml:space="preserve"> la segunda</w:t>
      </w:r>
      <w:r w:rsidR="00471AAD" w:rsidRPr="00975033">
        <w:rPr>
          <w:rFonts w:ascii="Verdana" w:hAnsi="Verdana"/>
          <w:sz w:val="20"/>
          <w:szCs w:val="20"/>
          <w:lang w:val="es-ES"/>
        </w:rPr>
        <w:t>,</w:t>
      </w:r>
      <w:r w:rsidRPr="00975033">
        <w:rPr>
          <w:rFonts w:ascii="Verdana" w:hAnsi="Verdana"/>
          <w:sz w:val="20"/>
          <w:szCs w:val="20"/>
          <w:lang w:val="es-ES"/>
        </w:rPr>
        <w:t xml:space="preserve"> de carácter progresivo, en la medida en que </w:t>
      </w:r>
      <w:r w:rsidR="00471AAD" w:rsidRPr="00975033">
        <w:rPr>
          <w:rFonts w:ascii="Verdana" w:hAnsi="Verdana"/>
          <w:sz w:val="20"/>
          <w:szCs w:val="20"/>
          <w:lang w:val="es-ES"/>
        </w:rPr>
        <w:t xml:space="preserve">los “Estados partes tienen la obligación concreta y </w:t>
      </w:r>
      <w:r w:rsidR="00471AAD" w:rsidRPr="00975033">
        <w:rPr>
          <w:rFonts w:ascii="Verdana" w:hAnsi="Verdana"/>
          <w:sz w:val="20"/>
          <w:szCs w:val="20"/>
          <w:lang w:val="es-ES"/>
        </w:rPr>
        <w:lastRenderedPageBreak/>
        <w:t>constante de avanzar lo más expedita y eficazmente posible hacia la plena efectividad de dicho</w:t>
      </w:r>
      <w:r w:rsidR="007A0C5C" w:rsidRPr="00975033">
        <w:rPr>
          <w:rFonts w:ascii="Verdana" w:hAnsi="Verdana"/>
          <w:sz w:val="20"/>
          <w:szCs w:val="20"/>
          <w:lang w:val="es-ES"/>
        </w:rPr>
        <w:t>s</w:t>
      </w:r>
      <w:r w:rsidR="00471AAD" w:rsidRPr="00975033">
        <w:rPr>
          <w:rFonts w:ascii="Verdana" w:hAnsi="Verdana"/>
          <w:sz w:val="20"/>
          <w:szCs w:val="20"/>
          <w:lang w:val="es-ES"/>
        </w:rPr>
        <w:t xml:space="preserve"> derecho</w:t>
      </w:r>
      <w:r w:rsidR="007A0C5C" w:rsidRPr="00975033">
        <w:rPr>
          <w:rFonts w:ascii="Verdana" w:hAnsi="Verdana"/>
          <w:sz w:val="20"/>
          <w:szCs w:val="20"/>
          <w:lang w:val="es-ES"/>
        </w:rPr>
        <w:t>s”</w:t>
      </w:r>
      <w:r w:rsidR="00471AAD" w:rsidRPr="00975033">
        <w:rPr>
          <w:rFonts w:ascii="Verdana" w:hAnsi="Verdana"/>
          <w:sz w:val="20"/>
          <w:szCs w:val="20"/>
          <w:vertAlign w:val="superscript"/>
          <w:lang w:val="es-ES"/>
        </w:rPr>
        <w:footnoteReference w:id="29"/>
      </w:r>
      <w:r w:rsidR="00471AAD" w:rsidRPr="00975033">
        <w:rPr>
          <w:rFonts w:ascii="Verdana" w:hAnsi="Verdana"/>
          <w:sz w:val="20"/>
          <w:szCs w:val="20"/>
          <w:lang w:val="es-ES"/>
        </w:rPr>
        <w:t xml:space="preserve">. </w:t>
      </w:r>
      <w:r w:rsidR="00AE5B4E" w:rsidRPr="00975033">
        <w:rPr>
          <w:rFonts w:ascii="Verdana" w:hAnsi="Verdana"/>
          <w:sz w:val="20"/>
          <w:szCs w:val="20"/>
          <w:lang w:val="es-ES"/>
        </w:rPr>
        <w:t>Por otra parte, la Corte también ha reconocido que el carácter progresivo de las obligaciones que se derivan de</w:t>
      </w:r>
      <w:r w:rsidR="00A126A8">
        <w:rPr>
          <w:rFonts w:ascii="Verdana" w:hAnsi="Verdana"/>
          <w:sz w:val="20"/>
          <w:szCs w:val="20"/>
          <w:lang w:val="es-ES"/>
        </w:rPr>
        <w:t>l</w:t>
      </w:r>
      <w:r w:rsidR="00AE5B4E" w:rsidRPr="00975033">
        <w:rPr>
          <w:rFonts w:ascii="Verdana" w:hAnsi="Verdana"/>
          <w:sz w:val="20"/>
          <w:szCs w:val="20"/>
          <w:lang w:val="es-ES"/>
        </w:rPr>
        <w:t xml:space="preserve"> artículo 26 también</w:t>
      </w:r>
      <w:r w:rsidR="00471AAD" w:rsidRPr="00975033">
        <w:rPr>
          <w:rFonts w:ascii="Verdana" w:hAnsi="Verdana"/>
          <w:sz w:val="20"/>
          <w:szCs w:val="20"/>
          <w:lang w:val="es-ES"/>
        </w:rPr>
        <w:t xml:space="preserve"> impone </w:t>
      </w:r>
      <w:r w:rsidR="00AE5B4E" w:rsidRPr="00975033">
        <w:rPr>
          <w:rFonts w:ascii="Verdana" w:hAnsi="Verdana"/>
          <w:sz w:val="20"/>
          <w:szCs w:val="20"/>
          <w:lang w:val="es-ES"/>
        </w:rPr>
        <w:t xml:space="preserve">a los Estados el deber </w:t>
      </w:r>
      <w:r w:rsidR="00471AAD" w:rsidRPr="00975033">
        <w:rPr>
          <w:rFonts w:ascii="Verdana" w:hAnsi="Verdana"/>
          <w:sz w:val="20"/>
          <w:szCs w:val="20"/>
          <w:lang w:val="es-ES"/>
        </w:rPr>
        <w:t xml:space="preserve">de </w:t>
      </w:r>
      <w:r w:rsidR="00471AAD" w:rsidRPr="00975033">
        <w:rPr>
          <w:rFonts w:ascii="Verdana" w:hAnsi="Verdana"/>
          <w:i/>
          <w:sz w:val="20"/>
          <w:szCs w:val="20"/>
          <w:lang w:val="es-ES"/>
        </w:rPr>
        <w:t>no regresividad</w:t>
      </w:r>
      <w:r w:rsidR="00471AAD" w:rsidRPr="00975033">
        <w:rPr>
          <w:rFonts w:ascii="Verdana" w:hAnsi="Verdana"/>
          <w:sz w:val="20"/>
          <w:szCs w:val="20"/>
          <w:lang w:val="es-ES"/>
        </w:rPr>
        <w:t xml:space="preserve"> frente a la realización de los derechos alcanzados</w:t>
      </w:r>
      <w:r w:rsidR="00471AAD" w:rsidRPr="00975033">
        <w:rPr>
          <w:rFonts w:ascii="Verdana" w:hAnsi="Verdana"/>
          <w:sz w:val="20"/>
          <w:szCs w:val="20"/>
          <w:vertAlign w:val="superscript"/>
          <w:lang w:val="es-ES"/>
        </w:rPr>
        <w:footnoteReference w:id="30"/>
      </w:r>
      <w:r w:rsidR="00471AAD" w:rsidRPr="00975033">
        <w:rPr>
          <w:rFonts w:ascii="Verdana" w:hAnsi="Verdana"/>
          <w:sz w:val="20"/>
          <w:szCs w:val="20"/>
          <w:lang w:val="es-ES"/>
        </w:rPr>
        <w:t xml:space="preserve">. </w:t>
      </w:r>
      <w:r w:rsidR="000B0D8C" w:rsidRPr="00975033">
        <w:rPr>
          <w:rFonts w:ascii="Verdana" w:hAnsi="Verdana"/>
          <w:sz w:val="20"/>
          <w:szCs w:val="20"/>
          <w:lang w:val="es-ES"/>
        </w:rPr>
        <w:t>De esa forma</w:t>
      </w:r>
      <w:r w:rsidR="00471AAD" w:rsidRPr="00975033">
        <w:rPr>
          <w:rFonts w:ascii="Verdana" w:hAnsi="Verdana"/>
          <w:sz w:val="20"/>
          <w:szCs w:val="20"/>
          <w:lang w:val="es-ES"/>
        </w:rPr>
        <w:t xml:space="preserve">, las obligaciones de respeto y garantía, </w:t>
      </w:r>
      <w:r w:rsidR="000B0D8C" w:rsidRPr="00975033">
        <w:rPr>
          <w:rFonts w:ascii="Verdana" w:hAnsi="Verdana"/>
          <w:sz w:val="20"/>
          <w:szCs w:val="20"/>
          <w:lang w:val="es-ES"/>
        </w:rPr>
        <w:t>bien</w:t>
      </w:r>
      <w:r w:rsidR="00471AAD" w:rsidRPr="00975033">
        <w:rPr>
          <w:rFonts w:ascii="Verdana" w:hAnsi="Verdana"/>
          <w:sz w:val="20"/>
          <w:szCs w:val="20"/>
          <w:lang w:val="es-ES"/>
        </w:rPr>
        <w:t xml:space="preserve"> como de </w:t>
      </w:r>
      <w:r w:rsidR="000B0D8C" w:rsidRPr="00975033">
        <w:rPr>
          <w:rFonts w:ascii="Verdana" w:hAnsi="Verdana"/>
          <w:sz w:val="20"/>
          <w:szCs w:val="20"/>
          <w:lang w:val="es-ES"/>
        </w:rPr>
        <w:t>adoptar disposiciones de</w:t>
      </w:r>
      <w:r w:rsidR="00471AAD" w:rsidRPr="00975033">
        <w:rPr>
          <w:rFonts w:ascii="Verdana" w:hAnsi="Verdana"/>
          <w:sz w:val="20"/>
          <w:szCs w:val="20"/>
          <w:lang w:val="es-ES"/>
        </w:rPr>
        <w:t xml:space="preserve"> derecho interno (artículos 1.1 y 2), </w:t>
      </w:r>
      <w:r w:rsidR="000B0D8C" w:rsidRPr="00975033">
        <w:rPr>
          <w:rFonts w:ascii="Verdana" w:hAnsi="Verdana"/>
          <w:sz w:val="20"/>
          <w:szCs w:val="20"/>
          <w:lang w:val="es-ES"/>
        </w:rPr>
        <w:t>se muestran esenciales</w:t>
      </w:r>
      <w:r w:rsidR="00471AAD" w:rsidRPr="00975033">
        <w:rPr>
          <w:rFonts w:ascii="Verdana" w:hAnsi="Verdana"/>
          <w:sz w:val="20"/>
          <w:szCs w:val="20"/>
          <w:lang w:val="es-ES"/>
        </w:rPr>
        <w:t xml:space="preserve"> para </w:t>
      </w:r>
      <w:r w:rsidR="000B0D8C" w:rsidRPr="00975033">
        <w:rPr>
          <w:rFonts w:ascii="Verdana" w:hAnsi="Verdana"/>
          <w:sz w:val="20"/>
          <w:szCs w:val="20"/>
          <w:lang w:val="es-ES"/>
        </w:rPr>
        <w:t>lograr</w:t>
      </w:r>
      <w:r w:rsidR="00471AAD" w:rsidRPr="00975033">
        <w:rPr>
          <w:rFonts w:ascii="Verdana" w:hAnsi="Verdana"/>
          <w:sz w:val="20"/>
          <w:szCs w:val="20"/>
          <w:lang w:val="es-ES"/>
        </w:rPr>
        <w:t xml:space="preserve"> su efectividad</w:t>
      </w:r>
      <w:r w:rsidR="00471AAD" w:rsidRPr="00975033">
        <w:rPr>
          <w:rFonts w:ascii="Verdana" w:hAnsi="Verdana"/>
          <w:sz w:val="20"/>
          <w:szCs w:val="20"/>
          <w:vertAlign w:val="superscript"/>
          <w:lang w:val="es-ES"/>
        </w:rPr>
        <w:footnoteReference w:id="31"/>
      </w:r>
      <w:r w:rsidR="00471AAD" w:rsidRPr="00975033">
        <w:rPr>
          <w:rFonts w:ascii="Verdana" w:hAnsi="Verdana"/>
          <w:sz w:val="20"/>
          <w:szCs w:val="20"/>
          <w:lang w:val="es-ES"/>
        </w:rPr>
        <w:t>.</w:t>
      </w:r>
      <w:r w:rsidRPr="00975033">
        <w:rPr>
          <w:rFonts w:ascii="Verdana" w:hAnsi="Verdana"/>
          <w:sz w:val="20"/>
          <w:szCs w:val="20"/>
          <w:lang w:val="es-ES"/>
        </w:rPr>
        <w:t xml:space="preserve"> </w:t>
      </w:r>
    </w:p>
    <w:p w14:paraId="06170A4D" w14:textId="77777777" w:rsidR="00A424AF" w:rsidRPr="00975033" w:rsidRDefault="00A424AF" w:rsidP="00975033">
      <w:pPr>
        <w:pStyle w:val="Prrafodelista"/>
        <w:snapToGrid w:val="0"/>
        <w:spacing w:after="0" w:line="240" w:lineRule="auto"/>
        <w:contextualSpacing w:val="0"/>
        <w:rPr>
          <w:rFonts w:ascii="Verdana" w:hAnsi="Verdana"/>
          <w:sz w:val="20"/>
          <w:szCs w:val="20"/>
          <w:lang w:val="es-ES"/>
        </w:rPr>
      </w:pPr>
    </w:p>
    <w:p w14:paraId="033AE95B" w14:textId="511DAA64" w:rsidR="00A424AF" w:rsidRPr="00975033" w:rsidRDefault="00042B29"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Ahora bien, como se expuso, e</w:t>
      </w:r>
      <w:r w:rsidR="00A424AF" w:rsidRPr="00A424AF">
        <w:rPr>
          <w:rFonts w:ascii="Verdana" w:hAnsi="Verdana"/>
          <w:sz w:val="20"/>
          <w:szCs w:val="20"/>
          <w:lang w:val="es-ES"/>
        </w:rPr>
        <w:t xml:space="preserve">l principio de progresividad de </w:t>
      </w:r>
      <w:r w:rsidRPr="00975033">
        <w:rPr>
          <w:rFonts w:ascii="Verdana" w:hAnsi="Verdana"/>
          <w:sz w:val="20"/>
          <w:szCs w:val="20"/>
          <w:lang w:val="es-ES"/>
        </w:rPr>
        <w:t xml:space="preserve">los </w:t>
      </w:r>
      <w:r w:rsidR="00A424AF" w:rsidRPr="00A424AF">
        <w:rPr>
          <w:rFonts w:ascii="Verdana" w:hAnsi="Verdana"/>
          <w:sz w:val="20"/>
          <w:szCs w:val="20"/>
          <w:lang w:val="es-ES"/>
        </w:rPr>
        <w:t xml:space="preserve">derechos humanos </w:t>
      </w:r>
      <w:r w:rsidR="00975033" w:rsidRPr="00975033">
        <w:rPr>
          <w:rFonts w:ascii="Verdana" w:hAnsi="Verdana"/>
          <w:sz w:val="20"/>
          <w:szCs w:val="20"/>
          <w:lang w:val="es-ES"/>
        </w:rPr>
        <w:t>está relacionado con la dimensión de realización gradual de dichos derechos, con el fin de alcanzar</w:t>
      </w:r>
      <w:r w:rsidR="00A424AF" w:rsidRPr="00A424AF">
        <w:rPr>
          <w:rFonts w:ascii="Verdana" w:hAnsi="Verdana"/>
          <w:sz w:val="20"/>
          <w:szCs w:val="20"/>
          <w:lang w:val="es-ES"/>
        </w:rPr>
        <w:t xml:space="preserve"> su pleno cumplimiento. </w:t>
      </w:r>
      <w:r w:rsidRPr="00975033">
        <w:rPr>
          <w:rFonts w:ascii="Verdana" w:hAnsi="Verdana"/>
          <w:sz w:val="20"/>
          <w:szCs w:val="20"/>
          <w:lang w:val="es-ES"/>
        </w:rPr>
        <w:t>Si bien e</w:t>
      </w:r>
      <w:r w:rsidR="00A424AF" w:rsidRPr="00A424AF">
        <w:rPr>
          <w:rFonts w:ascii="Verdana" w:hAnsi="Verdana"/>
          <w:sz w:val="20"/>
          <w:szCs w:val="20"/>
          <w:lang w:val="es-ES"/>
        </w:rPr>
        <w:t>l principio de progresividad se ha relacionado particularmente con los derechos económicos, sociales</w:t>
      </w:r>
      <w:r w:rsidR="00975033" w:rsidRPr="00975033">
        <w:rPr>
          <w:rFonts w:ascii="Verdana" w:hAnsi="Verdana"/>
          <w:sz w:val="20"/>
          <w:szCs w:val="20"/>
          <w:lang w:val="es-ES"/>
        </w:rPr>
        <w:t>,</w:t>
      </w:r>
      <w:r w:rsidR="00A424AF" w:rsidRPr="00A424AF">
        <w:rPr>
          <w:rFonts w:ascii="Verdana" w:hAnsi="Verdana"/>
          <w:sz w:val="20"/>
          <w:szCs w:val="20"/>
          <w:lang w:val="es-ES"/>
        </w:rPr>
        <w:t xml:space="preserve"> culturales</w:t>
      </w:r>
      <w:r w:rsidR="00975033" w:rsidRPr="00975033">
        <w:rPr>
          <w:rFonts w:ascii="Verdana" w:hAnsi="Verdana"/>
          <w:sz w:val="20"/>
          <w:szCs w:val="20"/>
          <w:lang w:val="es-ES"/>
        </w:rPr>
        <w:t xml:space="preserve"> y ambientales</w:t>
      </w:r>
      <w:r w:rsidR="00A424AF" w:rsidRPr="00A424AF">
        <w:rPr>
          <w:rFonts w:ascii="Verdana" w:hAnsi="Verdana"/>
          <w:sz w:val="20"/>
          <w:szCs w:val="20"/>
          <w:lang w:val="es-ES"/>
        </w:rPr>
        <w:t xml:space="preserve">, </w:t>
      </w:r>
      <w:r w:rsidRPr="00975033">
        <w:rPr>
          <w:rFonts w:ascii="Verdana" w:hAnsi="Verdana"/>
          <w:sz w:val="20"/>
          <w:szCs w:val="20"/>
          <w:lang w:val="es-ES"/>
        </w:rPr>
        <w:t>su aplicación</w:t>
      </w:r>
      <w:r w:rsidR="00A2615A">
        <w:rPr>
          <w:rFonts w:ascii="Verdana" w:hAnsi="Verdana"/>
          <w:sz w:val="20"/>
          <w:szCs w:val="20"/>
          <w:lang w:val="es-ES"/>
        </w:rPr>
        <w:t>, especialmente en razón de la indivisibilidad e interdependencia de los derechos humanos</w:t>
      </w:r>
      <w:r w:rsidRPr="00975033">
        <w:rPr>
          <w:rFonts w:ascii="Verdana" w:hAnsi="Verdana"/>
          <w:sz w:val="20"/>
          <w:szCs w:val="20"/>
          <w:lang w:val="es-ES"/>
        </w:rPr>
        <w:t xml:space="preserve">, </w:t>
      </w:r>
      <w:r w:rsidR="00A424AF" w:rsidRPr="00A424AF">
        <w:rPr>
          <w:rFonts w:ascii="Verdana" w:hAnsi="Verdana"/>
          <w:sz w:val="20"/>
          <w:szCs w:val="20"/>
          <w:lang w:val="es-ES"/>
        </w:rPr>
        <w:t xml:space="preserve">también </w:t>
      </w:r>
      <w:r w:rsidR="00A2615A">
        <w:rPr>
          <w:rFonts w:ascii="Verdana" w:hAnsi="Verdana"/>
          <w:sz w:val="20"/>
          <w:szCs w:val="20"/>
          <w:lang w:val="es-ES"/>
        </w:rPr>
        <w:t xml:space="preserve">se verifica </w:t>
      </w:r>
      <w:r w:rsidR="00A424AF" w:rsidRPr="00A424AF">
        <w:rPr>
          <w:rFonts w:ascii="Verdana" w:hAnsi="Verdana"/>
          <w:sz w:val="20"/>
          <w:szCs w:val="20"/>
          <w:lang w:val="es-ES"/>
        </w:rPr>
        <w:t xml:space="preserve">para los </w:t>
      </w:r>
      <w:r w:rsidR="00A2615A">
        <w:rPr>
          <w:rFonts w:ascii="Verdana" w:hAnsi="Verdana"/>
          <w:sz w:val="20"/>
          <w:szCs w:val="20"/>
          <w:lang w:val="es-ES"/>
        </w:rPr>
        <w:t xml:space="preserve">derechos </w:t>
      </w:r>
      <w:r w:rsidR="00A424AF" w:rsidRPr="00A424AF">
        <w:rPr>
          <w:rFonts w:ascii="Verdana" w:hAnsi="Verdana"/>
          <w:sz w:val="20"/>
          <w:szCs w:val="20"/>
          <w:lang w:val="es-ES"/>
        </w:rPr>
        <w:t>civiles y políticos</w:t>
      </w:r>
      <w:r w:rsidR="00A2615A">
        <w:rPr>
          <w:rFonts w:ascii="Verdana" w:hAnsi="Verdana"/>
          <w:sz w:val="20"/>
          <w:szCs w:val="20"/>
          <w:lang w:val="es-ES"/>
        </w:rPr>
        <w:t xml:space="preserve">. </w:t>
      </w:r>
      <w:r w:rsidR="00BB5D5A">
        <w:rPr>
          <w:rFonts w:ascii="Verdana" w:hAnsi="Verdana"/>
          <w:sz w:val="20"/>
          <w:szCs w:val="20"/>
          <w:lang w:val="es-ES"/>
        </w:rPr>
        <w:t xml:space="preserve">En efecto, es evidente que </w:t>
      </w:r>
      <w:r w:rsidR="005560E9">
        <w:rPr>
          <w:rFonts w:ascii="Verdana" w:hAnsi="Verdana"/>
          <w:sz w:val="20"/>
          <w:szCs w:val="20"/>
          <w:lang w:val="es-ES"/>
        </w:rPr>
        <w:t xml:space="preserve">la garantía y protección de </w:t>
      </w:r>
      <w:r w:rsidR="00BB5D5A">
        <w:rPr>
          <w:rFonts w:ascii="Verdana" w:hAnsi="Verdana"/>
          <w:sz w:val="20"/>
          <w:szCs w:val="20"/>
          <w:lang w:val="es-ES"/>
        </w:rPr>
        <w:t xml:space="preserve">los derechos civiles y políticos también </w:t>
      </w:r>
      <w:r w:rsidR="000D6BE2">
        <w:rPr>
          <w:rFonts w:ascii="Verdana" w:hAnsi="Verdana"/>
          <w:sz w:val="20"/>
          <w:szCs w:val="20"/>
          <w:lang w:val="es-ES"/>
        </w:rPr>
        <w:t>demandan</w:t>
      </w:r>
      <w:r w:rsidR="00BB5D5A">
        <w:rPr>
          <w:rFonts w:ascii="Verdana" w:hAnsi="Verdana"/>
          <w:sz w:val="20"/>
          <w:szCs w:val="20"/>
          <w:lang w:val="es-ES"/>
        </w:rPr>
        <w:t xml:space="preserve"> prestaciones positivas del Estado, además de los deberes de abstención, como, por ejemplo, sucede con el derecho de defensa, por el cual el Estado tiene </w:t>
      </w:r>
      <w:r w:rsidR="005560E9">
        <w:rPr>
          <w:rFonts w:ascii="Verdana" w:hAnsi="Verdana"/>
          <w:sz w:val="20"/>
          <w:szCs w:val="20"/>
          <w:lang w:val="es-ES"/>
        </w:rPr>
        <w:t>la obligación de</w:t>
      </w:r>
      <w:r w:rsidR="00BB5D5A">
        <w:rPr>
          <w:rFonts w:ascii="Verdana" w:hAnsi="Verdana"/>
          <w:sz w:val="20"/>
          <w:szCs w:val="20"/>
          <w:lang w:val="es-ES"/>
        </w:rPr>
        <w:t xml:space="preserve"> brindar un</w:t>
      </w:r>
      <w:r w:rsidR="005560E9">
        <w:rPr>
          <w:rFonts w:ascii="Verdana" w:hAnsi="Verdana"/>
          <w:sz w:val="20"/>
          <w:szCs w:val="20"/>
          <w:lang w:val="es-ES"/>
        </w:rPr>
        <w:t xml:space="preserve">a defensa </w:t>
      </w:r>
      <w:r w:rsidR="00BB5D5A">
        <w:rPr>
          <w:rFonts w:ascii="Verdana" w:hAnsi="Verdana"/>
          <w:sz w:val="20"/>
          <w:szCs w:val="20"/>
          <w:lang w:val="es-ES"/>
        </w:rPr>
        <w:t>pública</w:t>
      </w:r>
      <w:r w:rsidR="005560E9">
        <w:rPr>
          <w:rFonts w:ascii="Verdana" w:hAnsi="Verdana"/>
          <w:sz w:val="20"/>
          <w:szCs w:val="20"/>
          <w:lang w:val="es-ES"/>
        </w:rPr>
        <w:t xml:space="preserve"> gratuita</w:t>
      </w:r>
      <w:r w:rsidR="00BB5D5A">
        <w:rPr>
          <w:rFonts w:ascii="Verdana" w:hAnsi="Verdana"/>
          <w:sz w:val="20"/>
          <w:szCs w:val="20"/>
          <w:lang w:val="es-ES"/>
        </w:rPr>
        <w:t xml:space="preserve"> al acusado </w:t>
      </w:r>
      <w:r w:rsidR="000D6BE2">
        <w:rPr>
          <w:rFonts w:ascii="Verdana" w:hAnsi="Verdana"/>
          <w:sz w:val="20"/>
          <w:szCs w:val="20"/>
          <w:lang w:val="es-ES"/>
        </w:rPr>
        <w:t>que carece</w:t>
      </w:r>
      <w:r w:rsidR="00BB5D5A">
        <w:rPr>
          <w:rFonts w:ascii="Verdana" w:hAnsi="Verdana"/>
          <w:sz w:val="20"/>
          <w:szCs w:val="20"/>
          <w:lang w:val="es-ES"/>
        </w:rPr>
        <w:t xml:space="preserve"> de recursos económicos para </w:t>
      </w:r>
      <w:r w:rsidR="000D6BE2">
        <w:rPr>
          <w:rFonts w:ascii="Verdana" w:hAnsi="Verdana"/>
          <w:sz w:val="20"/>
          <w:szCs w:val="20"/>
          <w:lang w:val="es-ES"/>
        </w:rPr>
        <w:t>cubrir</w:t>
      </w:r>
      <w:r w:rsidR="00BB5D5A">
        <w:rPr>
          <w:rFonts w:ascii="Verdana" w:hAnsi="Verdana"/>
          <w:sz w:val="20"/>
          <w:szCs w:val="20"/>
          <w:lang w:val="es-ES"/>
        </w:rPr>
        <w:t xml:space="preserve"> los costos de un abogado particular.</w:t>
      </w:r>
    </w:p>
    <w:p w14:paraId="3A9EA0C3" w14:textId="77777777" w:rsidR="002E0CE1" w:rsidRPr="00975033" w:rsidRDefault="002E0CE1" w:rsidP="00975033">
      <w:pPr>
        <w:pStyle w:val="Prrafodelista"/>
        <w:snapToGrid w:val="0"/>
        <w:spacing w:after="0" w:line="240" w:lineRule="auto"/>
        <w:contextualSpacing w:val="0"/>
        <w:rPr>
          <w:rFonts w:ascii="Verdana" w:hAnsi="Verdana"/>
          <w:sz w:val="20"/>
          <w:szCs w:val="20"/>
          <w:lang w:val="es-ES"/>
        </w:rPr>
      </w:pPr>
    </w:p>
    <w:p w14:paraId="728A3539" w14:textId="4DAEBB32" w:rsidR="002E0CE1" w:rsidRPr="00975033" w:rsidRDefault="002E0CE1"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El ordenamiento jurídico brasileño</w:t>
      </w:r>
      <w:r w:rsidR="002404FA" w:rsidRPr="00975033">
        <w:rPr>
          <w:rFonts w:ascii="Verdana" w:hAnsi="Verdana"/>
          <w:sz w:val="20"/>
          <w:szCs w:val="20"/>
          <w:lang w:val="es-ES"/>
        </w:rPr>
        <w:t xml:space="preserve">, de forma similar, </w:t>
      </w:r>
      <w:r w:rsidRPr="00975033">
        <w:rPr>
          <w:rFonts w:ascii="Verdana" w:hAnsi="Verdana"/>
          <w:sz w:val="20"/>
          <w:szCs w:val="20"/>
          <w:lang w:val="es-ES"/>
        </w:rPr>
        <w:t>contempla disposiciones relacionadas con la prohibición del retroceso</w:t>
      </w:r>
      <w:r w:rsidR="002404FA" w:rsidRPr="00975033">
        <w:rPr>
          <w:rFonts w:ascii="Verdana" w:hAnsi="Verdana"/>
          <w:sz w:val="20"/>
          <w:szCs w:val="20"/>
          <w:lang w:val="es-ES"/>
        </w:rPr>
        <w:t xml:space="preserve"> social</w:t>
      </w:r>
      <w:r w:rsidR="00692271">
        <w:rPr>
          <w:rFonts w:ascii="Verdana" w:hAnsi="Verdana"/>
          <w:sz w:val="20"/>
          <w:szCs w:val="20"/>
          <w:lang w:val="es-ES"/>
        </w:rPr>
        <w:t xml:space="preserve">, e incluso trata de dicha prohibición en relación </w:t>
      </w:r>
      <w:r w:rsidR="00A356C3">
        <w:rPr>
          <w:rFonts w:ascii="Verdana" w:hAnsi="Verdana"/>
          <w:sz w:val="20"/>
          <w:szCs w:val="20"/>
          <w:lang w:val="es-ES"/>
        </w:rPr>
        <w:t>con</w:t>
      </w:r>
      <w:r w:rsidR="00692271">
        <w:rPr>
          <w:rFonts w:ascii="Verdana" w:hAnsi="Verdana"/>
          <w:sz w:val="20"/>
          <w:szCs w:val="20"/>
          <w:lang w:val="es-ES"/>
        </w:rPr>
        <w:t xml:space="preserve"> todos los derechos fundamentales, sin disti</w:t>
      </w:r>
      <w:r w:rsidR="00BB5D5A">
        <w:rPr>
          <w:rFonts w:ascii="Verdana" w:hAnsi="Verdana"/>
          <w:sz w:val="20"/>
          <w:szCs w:val="20"/>
          <w:lang w:val="es-ES"/>
        </w:rPr>
        <w:t>n</w:t>
      </w:r>
      <w:r w:rsidR="00692271">
        <w:rPr>
          <w:rFonts w:ascii="Verdana" w:hAnsi="Verdana"/>
          <w:sz w:val="20"/>
          <w:szCs w:val="20"/>
          <w:lang w:val="es-ES"/>
        </w:rPr>
        <w:t>guir entre civiles</w:t>
      </w:r>
      <w:r w:rsidR="005560E9">
        <w:rPr>
          <w:rFonts w:ascii="Verdana" w:hAnsi="Verdana"/>
          <w:sz w:val="20"/>
          <w:szCs w:val="20"/>
          <w:lang w:val="es-ES"/>
        </w:rPr>
        <w:t>,</w:t>
      </w:r>
      <w:r w:rsidR="00692271">
        <w:rPr>
          <w:rFonts w:ascii="Verdana" w:hAnsi="Verdana"/>
          <w:sz w:val="20"/>
          <w:szCs w:val="20"/>
          <w:lang w:val="es-ES"/>
        </w:rPr>
        <w:t xml:space="preserve"> políticos</w:t>
      </w:r>
      <w:r w:rsidR="005560E9">
        <w:rPr>
          <w:rFonts w:ascii="Verdana" w:hAnsi="Verdana"/>
          <w:sz w:val="20"/>
          <w:szCs w:val="20"/>
          <w:lang w:val="es-ES"/>
        </w:rPr>
        <w:t>,</w:t>
      </w:r>
      <w:r w:rsidR="00692271">
        <w:rPr>
          <w:rFonts w:ascii="Verdana" w:hAnsi="Verdana"/>
          <w:sz w:val="20"/>
          <w:szCs w:val="20"/>
          <w:lang w:val="es-ES"/>
        </w:rPr>
        <w:t xml:space="preserve"> económicos, sociales, culturales y ambientales</w:t>
      </w:r>
      <w:r w:rsidRPr="00975033">
        <w:rPr>
          <w:rFonts w:ascii="Verdana" w:hAnsi="Verdana"/>
          <w:sz w:val="20"/>
          <w:szCs w:val="20"/>
          <w:lang w:val="es-ES"/>
        </w:rPr>
        <w:t xml:space="preserve">. En efecto, la Constitución de Brasil </w:t>
      </w:r>
      <w:r w:rsidR="00FE4217" w:rsidRPr="00975033">
        <w:rPr>
          <w:rFonts w:ascii="Verdana" w:hAnsi="Verdana"/>
          <w:sz w:val="20"/>
          <w:szCs w:val="20"/>
          <w:lang w:val="es-ES"/>
        </w:rPr>
        <w:t xml:space="preserve">prevé </w:t>
      </w:r>
      <w:r w:rsidRPr="00975033">
        <w:rPr>
          <w:rFonts w:ascii="Verdana" w:hAnsi="Verdana"/>
          <w:sz w:val="20"/>
          <w:szCs w:val="20"/>
          <w:lang w:val="es-ES"/>
        </w:rPr>
        <w:t>lo siguiente:</w:t>
      </w:r>
    </w:p>
    <w:p w14:paraId="3B28CA7C" w14:textId="77777777" w:rsidR="0069286D" w:rsidRPr="00975033" w:rsidRDefault="0069286D" w:rsidP="00975033">
      <w:pPr>
        <w:pStyle w:val="Prrafodelista"/>
        <w:snapToGrid w:val="0"/>
        <w:spacing w:after="0" w:line="240" w:lineRule="auto"/>
        <w:ind w:left="0"/>
        <w:contextualSpacing w:val="0"/>
        <w:jc w:val="both"/>
        <w:rPr>
          <w:rFonts w:ascii="Verdana" w:hAnsi="Verdana"/>
          <w:sz w:val="20"/>
          <w:szCs w:val="20"/>
          <w:lang w:val="es-ES"/>
        </w:rPr>
      </w:pPr>
    </w:p>
    <w:p w14:paraId="26ECDDC7" w14:textId="77777777" w:rsidR="00116912" w:rsidRPr="00975033" w:rsidRDefault="00116912" w:rsidP="00975033">
      <w:pPr>
        <w:pStyle w:val="Prrafodelista"/>
        <w:snapToGrid w:val="0"/>
        <w:spacing w:after="0" w:line="240" w:lineRule="auto"/>
        <w:contextualSpacing w:val="0"/>
        <w:jc w:val="both"/>
        <w:rPr>
          <w:rFonts w:ascii="Verdana" w:hAnsi="Verdana"/>
          <w:sz w:val="18"/>
          <w:szCs w:val="18"/>
          <w:lang w:val="es-ES"/>
        </w:rPr>
      </w:pPr>
      <w:r w:rsidRPr="00975033">
        <w:rPr>
          <w:rFonts w:ascii="Verdana" w:hAnsi="Verdana"/>
          <w:sz w:val="18"/>
          <w:szCs w:val="18"/>
          <w:lang w:val="es-ES"/>
        </w:rPr>
        <w:t>“Art. 3. Constituyen objetivos fundamentales de la República Federal de Brasil:</w:t>
      </w:r>
      <w:r w:rsidR="002404FA" w:rsidRPr="00975033">
        <w:rPr>
          <w:rFonts w:ascii="Verdana" w:hAnsi="Verdana"/>
          <w:sz w:val="18"/>
          <w:szCs w:val="18"/>
          <w:lang w:val="es-ES"/>
        </w:rPr>
        <w:t xml:space="preserve"> </w:t>
      </w:r>
      <w:r w:rsidRPr="00975033">
        <w:rPr>
          <w:rFonts w:ascii="Verdana" w:hAnsi="Verdana"/>
          <w:sz w:val="18"/>
          <w:szCs w:val="18"/>
          <w:lang w:val="es-ES"/>
        </w:rPr>
        <w:t>1. construir una sociedad libre, justa y solidaria; 2. garantizar el desarrollo nacional; 3. erradicar la pobreza y la marginación y reducir las desigualdades sociales y regionales; 4. promover el bien de todos, sin prejuicios de origen, raza, sexo, color edad o cualesquiera otras formas de discriminación.”</w:t>
      </w:r>
      <w:r w:rsidR="002E0CE1" w:rsidRPr="00975033">
        <w:rPr>
          <w:rFonts w:ascii="Verdana" w:hAnsi="Verdana"/>
          <w:sz w:val="18"/>
          <w:szCs w:val="18"/>
          <w:vertAlign w:val="superscript"/>
          <w:lang w:val="es-ES"/>
        </w:rPr>
        <w:t xml:space="preserve"> </w:t>
      </w:r>
      <w:r w:rsidR="002E0CE1" w:rsidRPr="00975033">
        <w:rPr>
          <w:rFonts w:ascii="Verdana" w:hAnsi="Verdana"/>
          <w:sz w:val="18"/>
          <w:szCs w:val="18"/>
          <w:vertAlign w:val="superscript"/>
          <w:lang w:val="es-ES"/>
        </w:rPr>
        <w:footnoteReference w:id="32"/>
      </w:r>
      <w:r w:rsidRPr="00975033">
        <w:rPr>
          <w:rFonts w:ascii="Verdana" w:hAnsi="Verdana"/>
          <w:sz w:val="18"/>
          <w:szCs w:val="18"/>
          <w:lang w:val="es-ES"/>
        </w:rPr>
        <w:t xml:space="preserve">  </w:t>
      </w:r>
    </w:p>
    <w:p w14:paraId="6804CFE4" w14:textId="77777777" w:rsidR="00993B1C" w:rsidRPr="00975033" w:rsidRDefault="00993B1C" w:rsidP="00975033">
      <w:pPr>
        <w:pStyle w:val="Prrafodelista"/>
        <w:snapToGrid w:val="0"/>
        <w:spacing w:after="0" w:line="240" w:lineRule="auto"/>
        <w:ind w:left="0"/>
        <w:contextualSpacing w:val="0"/>
        <w:jc w:val="both"/>
        <w:rPr>
          <w:rFonts w:ascii="Verdana" w:hAnsi="Verdana"/>
          <w:sz w:val="20"/>
          <w:szCs w:val="20"/>
          <w:lang w:val="es-ES"/>
        </w:rPr>
      </w:pPr>
    </w:p>
    <w:p w14:paraId="1BA84B4D" w14:textId="77777777" w:rsidR="00315884" w:rsidRPr="00975033" w:rsidRDefault="002404FA" w:rsidP="00975033">
      <w:pPr>
        <w:pStyle w:val="Prrafodelista"/>
        <w:snapToGrid w:val="0"/>
        <w:spacing w:after="0" w:line="240" w:lineRule="auto"/>
        <w:contextualSpacing w:val="0"/>
        <w:jc w:val="both"/>
        <w:rPr>
          <w:rFonts w:ascii="Verdana" w:hAnsi="Verdana"/>
          <w:sz w:val="18"/>
          <w:szCs w:val="18"/>
          <w:lang w:val="es-ES"/>
        </w:rPr>
      </w:pPr>
      <w:r w:rsidRPr="00975033">
        <w:rPr>
          <w:rFonts w:ascii="Verdana" w:hAnsi="Verdana"/>
          <w:sz w:val="18"/>
          <w:szCs w:val="18"/>
          <w:lang w:val="es-ES"/>
        </w:rPr>
        <w:t xml:space="preserve">“Art. 60 […] </w:t>
      </w:r>
      <w:r w:rsidR="00993B1C" w:rsidRPr="00975033">
        <w:rPr>
          <w:rFonts w:ascii="Verdana" w:hAnsi="Verdana"/>
          <w:sz w:val="18"/>
          <w:szCs w:val="18"/>
          <w:lang w:val="es-ES"/>
        </w:rPr>
        <w:t>§4</w:t>
      </w:r>
      <w:r w:rsidRPr="00975033">
        <w:rPr>
          <w:rFonts w:ascii="Verdana" w:hAnsi="Verdana"/>
          <w:sz w:val="18"/>
          <w:szCs w:val="18"/>
          <w:lang w:val="es-ES"/>
        </w:rPr>
        <w:t xml:space="preserve">º </w:t>
      </w:r>
      <w:r w:rsidR="00993B1C" w:rsidRPr="00975033">
        <w:rPr>
          <w:rFonts w:ascii="Verdana" w:hAnsi="Verdana"/>
          <w:sz w:val="18"/>
          <w:szCs w:val="18"/>
          <w:lang w:val="es-ES"/>
        </w:rPr>
        <w:t>No será objeto de deliberación la propuesta de enmienda para abolir:</w:t>
      </w:r>
      <w:r w:rsidR="00315884" w:rsidRPr="00975033">
        <w:rPr>
          <w:rFonts w:ascii="Verdana" w:hAnsi="Verdana"/>
          <w:sz w:val="18"/>
          <w:szCs w:val="18"/>
          <w:lang w:val="es-ES"/>
        </w:rPr>
        <w:t xml:space="preserve"> </w:t>
      </w:r>
      <w:r w:rsidR="00993B1C" w:rsidRPr="00975033">
        <w:rPr>
          <w:rFonts w:ascii="Verdana" w:hAnsi="Verdana"/>
          <w:sz w:val="18"/>
          <w:szCs w:val="18"/>
          <w:lang w:val="es-ES"/>
        </w:rPr>
        <w:t>I - la forma federativa de Estado;</w:t>
      </w:r>
      <w:r w:rsidR="00315884" w:rsidRPr="00975033">
        <w:rPr>
          <w:rFonts w:ascii="Verdana" w:hAnsi="Verdana"/>
          <w:sz w:val="18"/>
          <w:szCs w:val="18"/>
          <w:lang w:val="es-ES"/>
        </w:rPr>
        <w:t xml:space="preserve"> </w:t>
      </w:r>
      <w:r w:rsidR="00993B1C" w:rsidRPr="00975033">
        <w:rPr>
          <w:rFonts w:ascii="Verdana" w:hAnsi="Verdana"/>
          <w:sz w:val="18"/>
          <w:szCs w:val="18"/>
          <w:lang w:val="es-ES"/>
        </w:rPr>
        <w:t>II - votación directa, secreta, universal y periódica;</w:t>
      </w:r>
      <w:r w:rsidR="00315884" w:rsidRPr="00975033">
        <w:rPr>
          <w:rFonts w:ascii="Verdana" w:hAnsi="Verdana"/>
          <w:sz w:val="18"/>
          <w:szCs w:val="18"/>
          <w:lang w:val="es-ES"/>
        </w:rPr>
        <w:t xml:space="preserve"> </w:t>
      </w:r>
      <w:r w:rsidR="00993B1C" w:rsidRPr="00975033">
        <w:rPr>
          <w:rFonts w:ascii="Verdana" w:hAnsi="Verdana"/>
          <w:sz w:val="18"/>
          <w:szCs w:val="18"/>
          <w:lang w:val="es-ES"/>
        </w:rPr>
        <w:t>III - la separación de poderes;</w:t>
      </w:r>
      <w:r w:rsidR="00315884" w:rsidRPr="00975033">
        <w:rPr>
          <w:rFonts w:ascii="Verdana" w:hAnsi="Verdana"/>
          <w:sz w:val="18"/>
          <w:szCs w:val="18"/>
          <w:lang w:val="es-ES"/>
        </w:rPr>
        <w:t xml:space="preserve"> </w:t>
      </w:r>
      <w:r w:rsidR="00993B1C" w:rsidRPr="00975033">
        <w:rPr>
          <w:rFonts w:ascii="Verdana" w:hAnsi="Verdana"/>
          <w:sz w:val="18"/>
          <w:szCs w:val="18"/>
          <w:lang w:val="es-ES"/>
        </w:rPr>
        <w:t>IV - derechos y garantías individuales.</w:t>
      </w:r>
      <w:r w:rsidR="0069286D" w:rsidRPr="00975033">
        <w:rPr>
          <w:rFonts w:ascii="Verdana" w:hAnsi="Verdana"/>
          <w:sz w:val="18"/>
          <w:szCs w:val="18"/>
          <w:lang w:val="es-ES"/>
        </w:rPr>
        <w:t>”</w:t>
      </w:r>
      <w:r w:rsidR="0069286D" w:rsidRPr="00975033">
        <w:rPr>
          <w:rFonts w:ascii="Verdana" w:hAnsi="Verdana"/>
          <w:sz w:val="18"/>
          <w:szCs w:val="18"/>
          <w:vertAlign w:val="superscript"/>
          <w:lang w:val="es-ES"/>
        </w:rPr>
        <w:footnoteReference w:id="33"/>
      </w:r>
    </w:p>
    <w:p w14:paraId="225D8AE9" w14:textId="77777777" w:rsidR="00315884" w:rsidRPr="00975033" w:rsidRDefault="00315884" w:rsidP="00975033">
      <w:pPr>
        <w:snapToGrid w:val="0"/>
        <w:jc w:val="both"/>
        <w:rPr>
          <w:rFonts w:ascii="Verdana" w:hAnsi="Verdana"/>
          <w:sz w:val="20"/>
          <w:szCs w:val="20"/>
          <w:lang w:val="es-ES"/>
        </w:rPr>
      </w:pPr>
    </w:p>
    <w:p w14:paraId="11FEFF11" w14:textId="4CD4AC5F" w:rsidR="009B1824" w:rsidRDefault="00A042DD"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Así, conforme a</w:t>
      </w:r>
      <w:r w:rsidR="000A3579" w:rsidRPr="00975033">
        <w:rPr>
          <w:rFonts w:ascii="Verdana" w:hAnsi="Verdana"/>
          <w:sz w:val="20"/>
          <w:szCs w:val="20"/>
          <w:lang w:val="es-ES"/>
        </w:rPr>
        <w:t xml:space="preserve"> </w:t>
      </w:r>
      <w:r w:rsidRPr="00975033">
        <w:rPr>
          <w:rFonts w:ascii="Verdana" w:hAnsi="Verdana"/>
          <w:sz w:val="20"/>
          <w:szCs w:val="20"/>
          <w:lang w:val="es-ES"/>
        </w:rPr>
        <w:t>l</w:t>
      </w:r>
      <w:r w:rsidR="000A3579" w:rsidRPr="00975033">
        <w:rPr>
          <w:rFonts w:ascii="Verdana" w:hAnsi="Verdana"/>
          <w:sz w:val="20"/>
          <w:szCs w:val="20"/>
          <w:lang w:val="es-ES"/>
        </w:rPr>
        <w:t>o</w:t>
      </w:r>
      <w:r w:rsidRPr="00975033">
        <w:rPr>
          <w:rFonts w:ascii="Verdana" w:hAnsi="Verdana"/>
          <w:sz w:val="20"/>
          <w:szCs w:val="20"/>
          <w:lang w:val="es-ES"/>
        </w:rPr>
        <w:t xml:space="preserve"> expuesto anteriormente, es imperioso notar que, en los términos de la normativa internacional y nacional, el Estado de Brasil debe </w:t>
      </w:r>
      <w:r w:rsidR="00287B97" w:rsidRPr="00975033">
        <w:rPr>
          <w:rFonts w:ascii="Verdana" w:hAnsi="Verdana"/>
          <w:sz w:val="20"/>
          <w:szCs w:val="20"/>
          <w:lang w:val="es-ES"/>
        </w:rPr>
        <w:t xml:space="preserve">orientar </w:t>
      </w:r>
      <w:r w:rsidRPr="00975033">
        <w:rPr>
          <w:rFonts w:ascii="Verdana" w:hAnsi="Verdana"/>
          <w:sz w:val="20"/>
          <w:szCs w:val="20"/>
          <w:lang w:val="es-ES"/>
        </w:rPr>
        <w:t xml:space="preserve">sus políticas y leyes </w:t>
      </w:r>
      <w:r w:rsidR="00042B29" w:rsidRPr="00975033">
        <w:rPr>
          <w:rFonts w:ascii="Verdana" w:hAnsi="Verdana"/>
          <w:sz w:val="20"/>
          <w:szCs w:val="20"/>
          <w:lang w:val="es-ES"/>
        </w:rPr>
        <w:t xml:space="preserve">en </w:t>
      </w:r>
      <w:r w:rsidRPr="00975033">
        <w:rPr>
          <w:rFonts w:ascii="Verdana" w:hAnsi="Verdana"/>
          <w:sz w:val="20"/>
          <w:szCs w:val="20"/>
          <w:lang w:val="es-ES"/>
        </w:rPr>
        <w:t xml:space="preserve">materia de derechos </w:t>
      </w:r>
      <w:r w:rsidR="00042B29" w:rsidRPr="00975033">
        <w:rPr>
          <w:rFonts w:ascii="Verdana" w:hAnsi="Verdana"/>
          <w:sz w:val="20"/>
          <w:szCs w:val="20"/>
          <w:lang w:val="es-ES"/>
        </w:rPr>
        <w:t>humanos</w:t>
      </w:r>
      <w:r w:rsidRPr="00975033">
        <w:rPr>
          <w:rFonts w:ascii="Verdana" w:hAnsi="Verdana"/>
          <w:sz w:val="20"/>
          <w:szCs w:val="20"/>
          <w:lang w:val="es-ES"/>
        </w:rPr>
        <w:t xml:space="preserve"> por el principio de</w:t>
      </w:r>
      <w:r w:rsidR="00042B29" w:rsidRPr="00975033">
        <w:rPr>
          <w:rFonts w:ascii="Verdana" w:hAnsi="Verdana"/>
          <w:sz w:val="20"/>
          <w:szCs w:val="20"/>
          <w:lang w:val="es-ES"/>
        </w:rPr>
        <w:t xml:space="preserve"> </w:t>
      </w:r>
      <w:r w:rsidRPr="00975033">
        <w:rPr>
          <w:rFonts w:ascii="Verdana" w:hAnsi="Verdana"/>
          <w:sz w:val="20"/>
          <w:szCs w:val="20"/>
          <w:lang w:val="es-ES"/>
        </w:rPr>
        <w:t>progresividad y no regresividad de dichos derechos.</w:t>
      </w:r>
      <w:r w:rsidR="000A3579" w:rsidRPr="00975033">
        <w:rPr>
          <w:rFonts w:ascii="Verdana" w:hAnsi="Verdana"/>
          <w:sz w:val="20"/>
          <w:szCs w:val="20"/>
          <w:lang w:val="es-ES"/>
        </w:rPr>
        <w:t xml:space="preserve"> Ello implica, incluso, no adoptar medidas legislativas que resulten en retroceso</w:t>
      </w:r>
      <w:r w:rsidR="00696BBD" w:rsidRPr="00975033">
        <w:rPr>
          <w:rFonts w:ascii="Verdana" w:hAnsi="Verdana"/>
          <w:sz w:val="20"/>
          <w:szCs w:val="20"/>
          <w:lang w:val="es-ES"/>
        </w:rPr>
        <w:t>s</w:t>
      </w:r>
      <w:r w:rsidR="000A3579" w:rsidRPr="00975033">
        <w:rPr>
          <w:rFonts w:ascii="Verdana" w:hAnsi="Verdana"/>
          <w:sz w:val="20"/>
          <w:szCs w:val="20"/>
          <w:lang w:val="es-ES"/>
        </w:rPr>
        <w:t xml:space="preserve"> social</w:t>
      </w:r>
      <w:r w:rsidR="00696BBD" w:rsidRPr="00975033">
        <w:rPr>
          <w:rFonts w:ascii="Verdana" w:hAnsi="Verdana"/>
          <w:sz w:val="20"/>
          <w:szCs w:val="20"/>
          <w:lang w:val="es-ES"/>
        </w:rPr>
        <w:t>es</w:t>
      </w:r>
      <w:r w:rsidR="00FE4217" w:rsidRPr="00975033">
        <w:rPr>
          <w:rFonts w:ascii="Verdana" w:hAnsi="Verdana"/>
          <w:sz w:val="20"/>
          <w:szCs w:val="20"/>
          <w:lang w:val="es-ES"/>
        </w:rPr>
        <w:t>,</w:t>
      </w:r>
      <w:r w:rsidR="00696BBD" w:rsidRPr="00975033">
        <w:rPr>
          <w:rFonts w:ascii="Verdana" w:hAnsi="Verdana"/>
          <w:sz w:val="20"/>
          <w:szCs w:val="20"/>
          <w:lang w:val="es-ES"/>
        </w:rPr>
        <w:t xml:space="preserve"> ni implementarlas de modo </w:t>
      </w:r>
      <w:r w:rsidR="00FE4217" w:rsidRPr="00975033">
        <w:rPr>
          <w:rFonts w:ascii="Verdana" w:hAnsi="Verdana"/>
          <w:sz w:val="20"/>
          <w:szCs w:val="20"/>
          <w:lang w:val="es-ES"/>
        </w:rPr>
        <w:t>que generen</w:t>
      </w:r>
      <w:r w:rsidR="00696BBD" w:rsidRPr="00975033">
        <w:rPr>
          <w:rFonts w:ascii="Verdana" w:hAnsi="Verdana"/>
          <w:sz w:val="20"/>
          <w:szCs w:val="20"/>
          <w:lang w:val="es-ES"/>
        </w:rPr>
        <w:t xml:space="preserve"> dichos retrocesos</w:t>
      </w:r>
      <w:r w:rsidR="000A3579" w:rsidRPr="00975033">
        <w:rPr>
          <w:rFonts w:ascii="Verdana" w:hAnsi="Verdana"/>
          <w:sz w:val="20"/>
          <w:szCs w:val="20"/>
          <w:lang w:val="es-ES"/>
        </w:rPr>
        <w:t>.</w:t>
      </w:r>
    </w:p>
    <w:p w14:paraId="15E59AD2" w14:textId="6B12447C" w:rsidR="007B356D" w:rsidRDefault="007B356D" w:rsidP="007B356D">
      <w:pPr>
        <w:snapToGrid w:val="0"/>
        <w:jc w:val="both"/>
        <w:rPr>
          <w:rFonts w:ascii="Verdana" w:hAnsi="Verdana"/>
          <w:sz w:val="20"/>
          <w:szCs w:val="20"/>
          <w:lang w:val="es-ES"/>
        </w:rPr>
      </w:pPr>
    </w:p>
    <w:p w14:paraId="36DA491A" w14:textId="77777777" w:rsidR="007B356D" w:rsidRPr="007B356D" w:rsidRDefault="007B356D" w:rsidP="007B356D">
      <w:pPr>
        <w:snapToGrid w:val="0"/>
        <w:jc w:val="both"/>
        <w:rPr>
          <w:rFonts w:ascii="Verdana" w:hAnsi="Verdana"/>
          <w:sz w:val="20"/>
          <w:szCs w:val="20"/>
          <w:lang w:val="es-ES"/>
        </w:rPr>
      </w:pPr>
    </w:p>
    <w:p w14:paraId="7E8BF920" w14:textId="77777777" w:rsidR="009C5369" w:rsidRPr="00975033" w:rsidRDefault="009C5369" w:rsidP="00975033">
      <w:pPr>
        <w:snapToGrid w:val="0"/>
        <w:jc w:val="both"/>
        <w:rPr>
          <w:rFonts w:ascii="Verdana" w:hAnsi="Verdana"/>
          <w:sz w:val="20"/>
          <w:szCs w:val="20"/>
          <w:lang w:val="es-ES"/>
        </w:rPr>
      </w:pPr>
    </w:p>
    <w:p w14:paraId="5AE14B8A" w14:textId="77777777" w:rsidR="00F24E5A" w:rsidRPr="00975033" w:rsidRDefault="00F24E5A" w:rsidP="00975033">
      <w:pPr>
        <w:pStyle w:val="Prrafodelista"/>
        <w:numPr>
          <w:ilvl w:val="0"/>
          <w:numId w:val="7"/>
        </w:numPr>
        <w:tabs>
          <w:tab w:val="left" w:pos="709"/>
        </w:tabs>
        <w:snapToGrid w:val="0"/>
        <w:spacing w:after="0" w:line="240" w:lineRule="auto"/>
        <w:ind w:left="1417" w:hanging="357"/>
        <w:contextualSpacing w:val="0"/>
        <w:jc w:val="both"/>
        <w:rPr>
          <w:rFonts w:ascii="Verdana" w:hAnsi="Verdana"/>
          <w:b/>
          <w:sz w:val="20"/>
          <w:szCs w:val="20"/>
          <w:lang w:val="es-ES"/>
        </w:rPr>
      </w:pPr>
      <w:r w:rsidRPr="00975033">
        <w:rPr>
          <w:rFonts w:ascii="Verdana" w:hAnsi="Verdana"/>
          <w:b/>
          <w:sz w:val="20"/>
          <w:szCs w:val="20"/>
          <w:lang w:val="es-ES"/>
        </w:rPr>
        <w:lastRenderedPageBreak/>
        <w:t>Conclusión</w:t>
      </w:r>
    </w:p>
    <w:p w14:paraId="101BE459" w14:textId="77777777" w:rsidR="00D646CD" w:rsidRPr="00975033" w:rsidRDefault="00D646CD" w:rsidP="00975033">
      <w:pPr>
        <w:pStyle w:val="Prrafodelista"/>
        <w:snapToGrid w:val="0"/>
        <w:spacing w:after="0" w:line="240" w:lineRule="auto"/>
        <w:ind w:left="0"/>
        <w:contextualSpacing w:val="0"/>
        <w:jc w:val="both"/>
        <w:rPr>
          <w:rFonts w:ascii="Verdana" w:hAnsi="Verdana"/>
          <w:sz w:val="20"/>
          <w:szCs w:val="20"/>
          <w:lang w:val="es-ES"/>
        </w:rPr>
      </w:pPr>
    </w:p>
    <w:p w14:paraId="1913DD70" w14:textId="2D4BF20C" w:rsidR="00696BBD" w:rsidRPr="00975033" w:rsidRDefault="00696BBD"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Brasil ratificó</w:t>
      </w:r>
      <w:r w:rsidRPr="00975033">
        <w:rPr>
          <w:rFonts w:ascii="Verdana" w:hAnsi="Verdana"/>
          <w:sz w:val="24"/>
          <w:szCs w:val="24"/>
          <w:lang w:val="es-ES" w:eastAsia="en-US"/>
        </w:rPr>
        <w:t xml:space="preserve"> </w:t>
      </w:r>
      <w:r w:rsidRPr="00975033">
        <w:rPr>
          <w:rFonts w:ascii="Verdana" w:hAnsi="Verdana"/>
          <w:sz w:val="20"/>
          <w:szCs w:val="20"/>
          <w:lang w:val="es-ES"/>
        </w:rPr>
        <w:t>la Convención Americana el 25 de septiembre de 1992 y el Protocolo de San Salvador, el 21 de agosto de 1996, y reconoció la competencia contenciosa de la Corte el 10 de diciembre de 1998. De ahí se deriva, evidentemente, la obligación que tiene el Estado tanto de cumplir con las disposiciones de los instrumentos mencionados y respetar y garanti</w:t>
      </w:r>
      <w:r w:rsidR="00A50B19" w:rsidRPr="00975033">
        <w:rPr>
          <w:rFonts w:ascii="Verdana" w:hAnsi="Verdana"/>
          <w:sz w:val="20"/>
          <w:szCs w:val="20"/>
          <w:lang w:val="es-ES"/>
        </w:rPr>
        <w:t>za</w:t>
      </w:r>
      <w:r w:rsidRPr="00975033">
        <w:rPr>
          <w:rFonts w:ascii="Verdana" w:hAnsi="Verdana"/>
          <w:sz w:val="20"/>
          <w:szCs w:val="20"/>
          <w:lang w:val="es-ES"/>
        </w:rPr>
        <w:t>r los derechos en ellos previstos</w:t>
      </w:r>
      <w:r w:rsidR="006C3EDA" w:rsidRPr="00975033">
        <w:rPr>
          <w:rFonts w:ascii="Verdana" w:hAnsi="Verdana"/>
          <w:sz w:val="18"/>
          <w:szCs w:val="18"/>
          <w:vertAlign w:val="superscript"/>
          <w:lang w:val="es-ES"/>
        </w:rPr>
        <w:footnoteReference w:id="34"/>
      </w:r>
      <w:r w:rsidRPr="00975033">
        <w:rPr>
          <w:rFonts w:ascii="Verdana" w:hAnsi="Verdana"/>
          <w:sz w:val="20"/>
          <w:szCs w:val="20"/>
          <w:lang w:val="es-ES"/>
        </w:rPr>
        <w:t>, como de cumplir integralmente las sentencias del Tribunal Interamericano</w:t>
      </w:r>
      <w:r w:rsidR="006C3EDA" w:rsidRPr="00975033">
        <w:rPr>
          <w:rFonts w:ascii="Verdana" w:hAnsi="Verdana"/>
          <w:sz w:val="18"/>
          <w:szCs w:val="18"/>
          <w:vertAlign w:val="superscript"/>
          <w:lang w:val="es-ES"/>
        </w:rPr>
        <w:footnoteReference w:id="35"/>
      </w:r>
      <w:r w:rsidRPr="00975033">
        <w:rPr>
          <w:rFonts w:ascii="Verdana" w:hAnsi="Verdana"/>
          <w:sz w:val="20"/>
          <w:szCs w:val="20"/>
          <w:lang w:val="es-ES"/>
        </w:rPr>
        <w:t xml:space="preserve">.   </w:t>
      </w:r>
    </w:p>
    <w:p w14:paraId="2A22C085" w14:textId="77777777" w:rsidR="00696BBD" w:rsidRPr="00975033" w:rsidRDefault="00696BBD" w:rsidP="00975033">
      <w:pPr>
        <w:snapToGrid w:val="0"/>
        <w:jc w:val="both"/>
        <w:rPr>
          <w:rFonts w:ascii="Verdana" w:hAnsi="Verdana"/>
          <w:sz w:val="20"/>
          <w:szCs w:val="20"/>
          <w:lang w:val="es-ES"/>
        </w:rPr>
      </w:pPr>
    </w:p>
    <w:p w14:paraId="124075F3" w14:textId="6EC107A4" w:rsidR="006D5C52" w:rsidRPr="00975033" w:rsidRDefault="00C353C7"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 xml:space="preserve">En virtud del análisis hecho en el acápite referido a la EC/95, se puede vislumbrar, a partir de una interpretación literal de la normativa, que su implementación podría generar un significativo impacto negativo en la garantía de los derechos económicos, sociales, culturales y ambientales de la población brasileña a lo largo de los veinte años de vigencia de la Enmienda Constitucional, </w:t>
      </w:r>
      <w:r w:rsidR="009B70AB">
        <w:rPr>
          <w:rFonts w:ascii="Verdana" w:hAnsi="Verdana"/>
          <w:sz w:val="20"/>
          <w:szCs w:val="20"/>
          <w:lang w:val="es-ES"/>
        </w:rPr>
        <w:t xml:space="preserve">y, </w:t>
      </w:r>
      <w:r w:rsidRPr="00975033">
        <w:rPr>
          <w:rFonts w:ascii="Verdana" w:hAnsi="Verdana"/>
          <w:sz w:val="20"/>
          <w:szCs w:val="20"/>
          <w:lang w:val="es-ES"/>
        </w:rPr>
        <w:t xml:space="preserve">en particular, de los derechos a la salud y la educación. </w:t>
      </w:r>
    </w:p>
    <w:p w14:paraId="4DF9B7A1" w14:textId="77777777" w:rsidR="00422E59" w:rsidRPr="00975033" w:rsidRDefault="00422E59" w:rsidP="00975033">
      <w:pPr>
        <w:snapToGrid w:val="0"/>
        <w:rPr>
          <w:rFonts w:ascii="Verdana" w:hAnsi="Verdana"/>
          <w:sz w:val="20"/>
          <w:szCs w:val="20"/>
          <w:lang w:val="es-ES"/>
        </w:rPr>
      </w:pPr>
    </w:p>
    <w:p w14:paraId="000678DA" w14:textId="0DF28389" w:rsidR="00422E59" w:rsidRPr="00975033" w:rsidRDefault="004870A2"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Es cierto que el presupuesto público es un componente fundamental para la realización de los DESCA, pues el ejercicio de esos derechos necesita la implementación de proyectos, programas, políticas públicas</w:t>
      </w:r>
      <w:r w:rsidR="009B70AB">
        <w:rPr>
          <w:rFonts w:ascii="Verdana" w:hAnsi="Verdana"/>
          <w:sz w:val="20"/>
          <w:szCs w:val="20"/>
          <w:lang w:val="es-ES"/>
        </w:rPr>
        <w:t xml:space="preserve"> y normativa</w:t>
      </w:r>
      <w:r w:rsidR="004A23FB">
        <w:rPr>
          <w:rFonts w:ascii="Verdana" w:hAnsi="Verdana"/>
          <w:sz w:val="20"/>
          <w:szCs w:val="20"/>
          <w:lang w:val="es-ES"/>
        </w:rPr>
        <w:t>,</w:t>
      </w:r>
      <w:r w:rsidR="009B70AB">
        <w:rPr>
          <w:rFonts w:ascii="Verdana" w:hAnsi="Verdana"/>
          <w:sz w:val="20"/>
          <w:szCs w:val="20"/>
          <w:lang w:val="es-ES"/>
        </w:rPr>
        <w:t xml:space="preserve"> en general</w:t>
      </w:r>
      <w:r w:rsidRPr="00975033">
        <w:rPr>
          <w:rFonts w:ascii="Verdana" w:hAnsi="Verdana"/>
          <w:sz w:val="20"/>
          <w:szCs w:val="20"/>
          <w:lang w:val="es-ES"/>
        </w:rPr>
        <w:t xml:space="preserve">, es decir, prestaciones positivas por parte del Estado. En ese sentido, si una determinada norma impone un límite fijo y tajante a dicho presupuesto, la aplicación de esa norma puede resultar en graves y </w:t>
      </w:r>
      <w:r w:rsidR="009716C1">
        <w:rPr>
          <w:rFonts w:ascii="Verdana" w:hAnsi="Verdana"/>
          <w:sz w:val="20"/>
          <w:szCs w:val="20"/>
          <w:lang w:val="es-ES"/>
        </w:rPr>
        <w:t xml:space="preserve">eventuales </w:t>
      </w:r>
      <w:r w:rsidRPr="00975033">
        <w:rPr>
          <w:rFonts w:ascii="Verdana" w:hAnsi="Verdana"/>
          <w:sz w:val="20"/>
          <w:szCs w:val="20"/>
          <w:lang w:val="es-ES"/>
        </w:rPr>
        <w:t>viola</w:t>
      </w:r>
      <w:r w:rsidR="009716C1">
        <w:rPr>
          <w:rFonts w:ascii="Verdana" w:hAnsi="Verdana"/>
          <w:sz w:val="20"/>
          <w:szCs w:val="20"/>
          <w:lang w:val="es-ES"/>
        </w:rPr>
        <w:t>ciones y</w:t>
      </w:r>
      <w:r w:rsidRPr="00975033">
        <w:rPr>
          <w:rFonts w:ascii="Verdana" w:hAnsi="Verdana"/>
          <w:sz w:val="20"/>
          <w:szCs w:val="20"/>
          <w:lang w:val="es-ES"/>
        </w:rPr>
        <w:t xml:space="preserve"> restricciones a los derechos económicos, sociales, culturales y ambientales, </w:t>
      </w:r>
      <w:r w:rsidR="009B70AB">
        <w:rPr>
          <w:rFonts w:ascii="Verdana" w:hAnsi="Verdana"/>
          <w:sz w:val="20"/>
          <w:szCs w:val="20"/>
          <w:lang w:val="es-ES"/>
        </w:rPr>
        <w:t xml:space="preserve">con lo que </w:t>
      </w:r>
      <w:r w:rsidR="009716C1">
        <w:rPr>
          <w:rFonts w:ascii="Verdana" w:hAnsi="Verdana"/>
          <w:sz w:val="20"/>
          <w:szCs w:val="20"/>
          <w:lang w:val="es-ES"/>
        </w:rPr>
        <w:t xml:space="preserve">se </w:t>
      </w:r>
      <w:r w:rsidR="009B70AB">
        <w:rPr>
          <w:rFonts w:ascii="Verdana" w:hAnsi="Verdana"/>
          <w:sz w:val="20"/>
          <w:szCs w:val="20"/>
          <w:lang w:val="es-ES"/>
        </w:rPr>
        <w:t xml:space="preserve">vulneraría </w:t>
      </w:r>
      <w:r w:rsidRPr="00975033">
        <w:rPr>
          <w:rFonts w:ascii="Verdana" w:hAnsi="Verdana"/>
          <w:sz w:val="20"/>
          <w:szCs w:val="20"/>
          <w:lang w:val="es-ES"/>
        </w:rPr>
        <w:t xml:space="preserve">el principio de progresividad y no regresividad en materia de DESCA. Al respecto, </w:t>
      </w:r>
      <w:r w:rsidR="004A23FB">
        <w:rPr>
          <w:rFonts w:ascii="Verdana" w:hAnsi="Verdana"/>
          <w:sz w:val="20"/>
          <w:szCs w:val="20"/>
          <w:lang w:val="es-ES"/>
        </w:rPr>
        <w:t xml:space="preserve">y si se quiere evitar estas conductas </w:t>
      </w:r>
      <w:proofErr w:type="spellStart"/>
      <w:r w:rsidR="004A23FB">
        <w:rPr>
          <w:rFonts w:ascii="Verdana" w:hAnsi="Verdana"/>
          <w:sz w:val="20"/>
          <w:szCs w:val="20"/>
          <w:lang w:val="es-ES"/>
        </w:rPr>
        <w:t>inconvencionales</w:t>
      </w:r>
      <w:proofErr w:type="spellEnd"/>
      <w:r w:rsidR="004A23FB">
        <w:rPr>
          <w:rFonts w:ascii="Verdana" w:hAnsi="Verdana"/>
          <w:sz w:val="20"/>
          <w:szCs w:val="20"/>
          <w:lang w:val="es-ES"/>
        </w:rPr>
        <w:t xml:space="preserve">, </w:t>
      </w:r>
      <w:r w:rsidR="009716C1">
        <w:rPr>
          <w:rFonts w:ascii="Verdana" w:hAnsi="Verdana"/>
          <w:sz w:val="20"/>
          <w:szCs w:val="20"/>
          <w:lang w:val="es-ES"/>
        </w:rPr>
        <w:t xml:space="preserve">se deberá tener en consideración </w:t>
      </w:r>
      <w:r w:rsidRPr="00975033">
        <w:rPr>
          <w:rFonts w:ascii="Verdana" w:hAnsi="Verdana"/>
          <w:sz w:val="20"/>
          <w:szCs w:val="20"/>
          <w:lang w:val="es-ES"/>
        </w:rPr>
        <w:t>que una de las categorías conceptuales de los indicadores de progreso usados por la Asamblea General de la OEA para medir la realización de los derechos contemplados en el Protocolo de San Salvador</w:t>
      </w:r>
      <w:r w:rsidR="009716C1">
        <w:rPr>
          <w:rFonts w:ascii="Verdana" w:hAnsi="Verdana"/>
          <w:sz w:val="20"/>
          <w:szCs w:val="20"/>
          <w:lang w:val="es-ES"/>
        </w:rPr>
        <w:t xml:space="preserve"> justamente incluye</w:t>
      </w:r>
      <w:r w:rsidRPr="00975033">
        <w:rPr>
          <w:rFonts w:ascii="Verdana" w:hAnsi="Verdana"/>
          <w:sz w:val="20"/>
          <w:szCs w:val="20"/>
          <w:lang w:val="es-ES"/>
        </w:rPr>
        <w:t xml:space="preserve"> el</w:t>
      </w:r>
      <w:r w:rsidR="00975618" w:rsidRPr="00975033">
        <w:rPr>
          <w:rFonts w:ascii="Verdana" w:hAnsi="Verdana"/>
          <w:sz w:val="20"/>
          <w:szCs w:val="20"/>
          <w:lang w:val="es-ES"/>
        </w:rPr>
        <w:t xml:space="preserve"> contexto financiero básico y los </w:t>
      </w:r>
      <w:r w:rsidRPr="00975033">
        <w:rPr>
          <w:rFonts w:ascii="Verdana" w:hAnsi="Verdana"/>
          <w:sz w:val="20"/>
          <w:szCs w:val="20"/>
          <w:lang w:val="es-ES"/>
        </w:rPr>
        <w:t>compromiso</w:t>
      </w:r>
      <w:r w:rsidR="00975618" w:rsidRPr="00975033">
        <w:rPr>
          <w:rFonts w:ascii="Verdana" w:hAnsi="Verdana"/>
          <w:sz w:val="20"/>
          <w:szCs w:val="20"/>
          <w:lang w:val="es-ES"/>
        </w:rPr>
        <w:t>s</w:t>
      </w:r>
      <w:r w:rsidRPr="00975033">
        <w:rPr>
          <w:rFonts w:ascii="Verdana" w:hAnsi="Verdana"/>
          <w:sz w:val="20"/>
          <w:szCs w:val="20"/>
          <w:lang w:val="es-ES"/>
        </w:rPr>
        <w:t xml:space="preserve"> presupuestario</w:t>
      </w:r>
      <w:r w:rsidR="00975618" w:rsidRPr="00975033">
        <w:rPr>
          <w:rFonts w:ascii="Verdana" w:hAnsi="Verdana"/>
          <w:sz w:val="20"/>
          <w:szCs w:val="20"/>
          <w:lang w:val="es-ES"/>
        </w:rPr>
        <w:t>s</w:t>
      </w:r>
      <w:r w:rsidRPr="00975033">
        <w:rPr>
          <w:rFonts w:ascii="Verdana" w:hAnsi="Verdana"/>
          <w:sz w:val="20"/>
          <w:szCs w:val="20"/>
          <w:lang w:val="es-ES"/>
        </w:rPr>
        <w:t xml:space="preserve"> del Estado.</w:t>
      </w:r>
      <w:r w:rsidR="00975618" w:rsidRPr="00975033">
        <w:rPr>
          <w:rFonts w:ascii="Verdana" w:hAnsi="Verdana"/>
          <w:sz w:val="20"/>
          <w:szCs w:val="20"/>
          <w:lang w:val="es-ES"/>
        </w:rPr>
        <w:t xml:space="preserve"> Los indicadores contenidos en esta categoría permiten evaluar la disponibilidad efectiva de recursos del Estado para ejecutar el Gasto Público Social, entre otros</w:t>
      </w:r>
      <w:r w:rsidRPr="00975033">
        <w:rPr>
          <w:rFonts w:ascii="Verdana" w:hAnsi="Verdana"/>
          <w:sz w:val="18"/>
          <w:szCs w:val="18"/>
          <w:vertAlign w:val="superscript"/>
          <w:lang w:val="es-ES"/>
        </w:rPr>
        <w:footnoteReference w:id="36"/>
      </w:r>
      <w:r w:rsidR="009716C1">
        <w:rPr>
          <w:rFonts w:ascii="Verdana" w:hAnsi="Verdana"/>
          <w:sz w:val="20"/>
          <w:szCs w:val="20"/>
          <w:lang w:val="es-ES"/>
        </w:rPr>
        <w:t xml:space="preserve">; instrumentos que, </w:t>
      </w:r>
      <w:r w:rsidR="004A23FB">
        <w:rPr>
          <w:rFonts w:ascii="Verdana" w:hAnsi="Verdana"/>
          <w:sz w:val="20"/>
          <w:szCs w:val="20"/>
          <w:lang w:val="es-ES"/>
        </w:rPr>
        <w:t>consecuentemente</w:t>
      </w:r>
      <w:r w:rsidR="009716C1">
        <w:rPr>
          <w:rFonts w:ascii="Verdana" w:hAnsi="Verdana"/>
          <w:sz w:val="20"/>
          <w:szCs w:val="20"/>
          <w:lang w:val="es-ES"/>
        </w:rPr>
        <w:t xml:space="preserve">, deberán ser tomados en cuenta para evitar que los </w:t>
      </w:r>
      <w:r w:rsidR="004A23FB">
        <w:rPr>
          <w:rFonts w:ascii="Verdana" w:hAnsi="Verdana"/>
          <w:sz w:val="20"/>
          <w:szCs w:val="20"/>
          <w:lang w:val="es-ES"/>
        </w:rPr>
        <w:t>Estados Parte incurran en las violaciones antes advertidas.</w:t>
      </w:r>
    </w:p>
    <w:p w14:paraId="1357031D" w14:textId="77777777" w:rsidR="006D5C52" w:rsidRPr="00975033" w:rsidRDefault="006D5C52" w:rsidP="00975033">
      <w:pPr>
        <w:snapToGrid w:val="0"/>
        <w:rPr>
          <w:rFonts w:ascii="Verdana" w:hAnsi="Verdana"/>
          <w:sz w:val="20"/>
          <w:szCs w:val="20"/>
          <w:lang w:val="es-ES"/>
        </w:rPr>
      </w:pPr>
    </w:p>
    <w:p w14:paraId="26492910" w14:textId="15CAE8A2" w:rsidR="00CB2F26" w:rsidRPr="00975033" w:rsidRDefault="00CE28CF"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En atención a lo expuesto</w:t>
      </w:r>
      <w:r w:rsidR="00A126A8">
        <w:rPr>
          <w:rFonts w:ascii="Verdana" w:hAnsi="Verdana"/>
          <w:sz w:val="20"/>
          <w:szCs w:val="20"/>
          <w:lang w:val="es-ES"/>
        </w:rPr>
        <w:t>,</w:t>
      </w:r>
      <w:r w:rsidRPr="00975033">
        <w:rPr>
          <w:rFonts w:ascii="Verdana" w:hAnsi="Verdana"/>
          <w:sz w:val="20"/>
          <w:szCs w:val="20"/>
          <w:lang w:val="es-ES"/>
        </w:rPr>
        <w:t xml:space="preserve"> </w:t>
      </w:r>
      <w:r w:rsidR="00C353C7" w:rsidRPr="00975033">
        <w:rPr>
          <w:rFonts w:ascii="Verdana" w:hAnsi="Verdana"/>
          <w:sz w:val="20"/>
          <w:szCs w:val="20"/>
          <w:lang w:val="es-ES"/>
        </w:rPr>
        <w:t xml:space="preserve">urge manifestar mi preocupación respecto a la posible </w:t>
      </w:r>
      <w:r w:rsidR="004A23FB">
        <w:rPr>
          <w:rFonts w:ascii="Verdana" w:hAnsi="Verdana"/>
          <w:sz w:val="20"/>
          <w:szCs w:val="20"/>
          <w:lang w:val="es-ES"/>
        </w:rPr>
        <w:t>utilización de una lectura o interpretación literal d</w:t>
      </w:r>
      <w:r w:rsidR="00C353C7" w:rsidRPr="00975033">
        <w:rPr>
          <w:rFonts w:ascii="Verdana" w:hAnsi="Verdana"/>
          <w:sz w:val="20"/>
          <w:szCs w:val="20"/>
          <w:lang w:val="es-ES"/>
        </w:rPr>
        <w:t>e la EC/95</w:t>
      </w:r>
      <w:r w:rsidR="004A23FB">
        <w:rPr>
          <w:rFonts w:ascii="Verdana" w:hAnsi="Verdana"/>
          <w:sz w:val="20"/>
          <w:szCs w:val="20"/>
          <w:lang w:val="es-ES"/>
        </w:rPr>
        <w:t xml:space="preserve">, cuyas connotaciones </w:t>
      </w:r>
      <w:r w:rsidR="00422E59" w:rsidRPr="00975033">
        <w:rPr>
          <w:rFonts w:ascii="Verdana" w:hAnsi="Verdana"/>
          <w:sz w:val="20"/>
          <w:szCs w:val="20"/>
          <w:lang w:val="es-ES"/>
        </w:rPr>
        <w:t>pueda</w:t>
      </w:r>
      <w:r w:rsidR="004A23FB">
        <w:rPr>
          <w:rFonts w:ascii="Verdana" w:hAnsi="Verdana"/>
          <w:sz w:val="20"/>
          <w:szCs w:val="20"/>
          <w:lang w:val="es-ES"/>
        </w:rPr>
        <w:t>n</w:t>
      </w:r>
      <w:r w:rsidR="00422E59" w:rsidRPr="00975033">
        <w:rPr>
          <w:rFonts w:ascii="Verdana" w:hAnsi="Verdana"/>
          <w:sz w:val="20"/>
          <w:szCs w:val="20"/>
          <w:lang w:val="es-ES"/>
        </w:rPr>
        <w:t xml:space="preserve"> </w:t>
      </w:r>
      <w:r w:rsidR="006D5C52" w:rsidRPr="00975033">
        <w:rPr>
          <w:rFonts w:ascii="Verdana" w:hAnsi="Verdana"/>
          <w:sz w:val="20"/>
          <w:szCs w:val="20"/>
          <w:lang w:val="es-ES"/>
        </w:rPr>
        <w:t>constitu</w:t>
      </w:r>
      <w:r w:rsidR="00422E59" w:rsidRPr="00975033">
        <w:rPr>
          <w:rFonts w:ascii="Verdana" w:hAnsi="Verdana"/>
          <w:sz w:val="20"/>
          <w:szCs w:val="20"/>
          <w:lang w:val="es-ES"/>
        </w:rPr>
        <w:t>irse en</w:t>
      </w:r>
      <w:r w:rsidR="006D5C52" w:rsidRPr="00975033">
        <w:rPr>
          <w:rFonts w:ascii="Verdana" w:hAnsi="Verdana"/>
          <w:sz w:val="20"/>
          <w:szCs w:val="20"/>
          <w:lang w:val="es-ES"/>
        </w:rPr>
        <w:t xml:space="preserve"> un</w:t>
      </w:r>
      <w:r w:rsidR="00C353C7" w:rsidRPr="00975033">
        <w:rPr>
          <w:rFonts w:ascii="Verdana" w:hAnsi="Verdana"/>
          <w:sz w:val="20"/>
          <w:szCs w:val="20"/>
          <w:lang w:val="es-ES"/>
        </w:rPr>
        <w:t xml:space="preserve"> </w:t>
      </w:r>
      <w:r w:rsidR="000D5A37" w:rsidRPr="00975033">
        <w:rPr>
          <w:rFonts w:ascii="Verdana" w:hAnsi="Verdana"/>
          <w:sz w:val="20"/>
          <w:szCs w:val="20"/>
          <w:lang w:val="es-ES"/>
        </w:rPr>
        <w:t>óbice</w:t>
      </w:r>
      <w:r w:rsidR="004A23FB">
        <w:rPr>
          <w:rFonts w:ascii="Verdana" w:hAnsi="Verdana"/>
          <w:sz w:val="20"/>
          <w:szCs w:val="20"/>
          <w:lang w:val="es-ES"/>
        </w:rPr>
        <w:t xml:space="preserve"> o argumentación</w:t>
      </w:r>
      <w:r w:rsidR="00C353C7" w:rsidRPr="00975033">
        <w:rPr>
          <w:rFonts w:ascii="Verdana" w:hAnsi="Verdana"/>
          <w:sz w:val="20"/>
          <w:szCs w:val="20"/>
          <w:lang w:val="es-ES"/>
        </w:rPr>
        <w:t xml:space="preserve"> para </w:t>
      </w:r>
      <w:r w:rsidR="004A23FB">
        <w:rPr>
          <w:rFonts w:ascii="Verdana" w:hAnsi="Verdana"/>
          <w:sz w:val="20"/>
          <w:szCs w:val="20"/>
          <w:lang w:val="es-ES"/>
        </w:rPr>
        <w:t xml:space="preserve">evadir </w:t>
      </w:r>
      <w:r w:rsidR="00C353C7" w:rsidRPr="00975033">
        <w:rPr>
          <w:rFonts w:ascii="Verdana" w:hAnsi="Verdana"/>
          <w:sz w:val="20"/>
          <w:szCs w:val="20"/>
          <w:lang w:val="es-ES"/>
        </w:rPr>
        <w:t xml:space="preserve">el cumplimiento de las medidas de reparación ordenadas en </w:t>
      </w:r>
      <w:r w:rsidRPr="00975033">
        <w:rPr>
          <w:rFonts w:ascii="Verdana" w:hAnsi="Verdana"/>
          <w:sz w:val="20"/>
          <w:szCs w:val="20"/>
          <w:lang w:val="es-ES"/>
        </w:rPr>
        <w:t>la</w:t>
      </w:r>
      <w:r w:rsidR="00C353C7" w:rsidRPr="00975033">
        <w:rPr>
          <w:rFonts w:ascii="Verdana" w:hAnsi="Verdana"/>
          <w:sz w:val="20"/>
          <w:szCs w:val="20"/>
          <w:lang w:val="es-ES"/>
        </w:rPr>
        <w:t xml:space="preserve"> Sentencia</w:t>
      </w:r>
      <w:r w:rsidR="006D5C52" w:rsidRPr="00975033">
        <w:rPr>
          <w:rFonts w:ascii="Verdana" w:hAnsi="Verdana"/>
          <w:sz w:val="20"/>
          <w:szCs w:val="20"/>
          <w:lang w:val="es-ES"/>
        </w:rPr>
        <w:t xml:space="preserve">. </w:t>
      </w:r>
      <w:r w:rsidRPr="00975033">
        <w:rPr>
          <w:rFonts w:ascii="Verdana" w:hAnsi="Verdana"/>
          <w:sz w:val="20"/>
          <w:szCs w:val="20"/>
          <w:lang w:val="es-ES"/>
        </w:rPr>
        <w:t xml:space="preserve">Al respecto, quiero recalcar que, en virtud de las obligaciones internacionales adquiridas por el Estado, este no puede alegar la EC/95 como un </w:t>
      </w:r>
      <w:r w:rsidR="000D5A37" w:rsidRPr="00975033">
        <w:rPr>
          <w:rFonts w:ascii="Verdana" w:hAnsi="Verdana"/>
          <w:sz w:val="20"/>
          <w:szCs w:val="20"/>
          <w:lang w:val="es-ES"/>
        </w:rPr>
        <w:t>obstáculo</w:t>
      </w:r>
      <w:r w:rsidRPr="00975033">
        <w:rPr>
          <w:rFonts w:ascii="Verdana" w:hAnsi="Verdana"/>
          <w:sz w:val="20"/>
          <w:szCs w:val="20"/>
          <w:lang w:val="es-ES"/>
        </w:rPr>
        <w:t xml:space="preserve">, especialmente para el cumplimiento de la medida de reparación referida a la creación y puesta en marcha del programa socioeconómico </w:t>
      </w:r>
      <w:r w:rsidR="00D8481F">
        <w:rPr>
          <w:rFonts w:ascii="Verdana" w:hAnsi="Verdana"/>
          <w:sz w:val="20"/>
          <w:szCs w:val="20"/>
          <w:lang w:val="es-ES"/>
        </w:rPr>
        <w:t>ordenado en la sentencia</w:t>
      </w:r>
      <w:r w:rsidRPr="00975033">
        <w:rPr>
          <w:rFonts w:ascii="Verdana" w:hAnsi="Verdana"/>
          <w:sz w:val="20"/>
          <w:szCs w:val="20"/>
          <w:lang w:val="es-ES"/>
        </w:rPr>
        <w:t xml:space="preserve">. </w:t>
      </w:r>
      <w:r w:rsidR="00D8481F">
        <w:rPr>
          <w:rFonts w:ascii="Verdana" w:hAnsi="Verdana"/>
          <w:sz w:val="20"/>
          <w:szCs w:val="20"/>
          <w:lang w:val="es-ES"/>
        </w:rPr>
        <w:t xml:space="preserve">Manifiesto y expongo esta preocupación, </w:t>
      </w:r>
      <w:r w:rsidR="00422E59" w:rsidRPr="00975033">
        <w:rPr>
          <w:rFonts w:ascii="Verdana" w:hAnsi="Verdana"/>
          <w:sz w:val="20"/>
          <w:szCs w:val="20"/>
          <w:lang w:val="es-ES"/>
        </w:rPr>
        <w:t>teniendo en c</w:t>
      </w:r>
      <w:r w:rsidR="00087E67" w:rsidRPr="00975033">
        <w:rPr>
          <w:rFonts w:ascii="Verdana" w:hAnsi="Verdana"/>
          <w:sz w:val="20"/>
          <w:szCs w:val="20"/>
          <w:lang w:val="es-ES"/>
        </w:rPr>
        <w:t>uenta</w:t>
      </w:r>
      <w:r w:rsidR="00422E59" w:rsidRPr="00975033">
        <w:rPr>
          <w:rFonts w:ascii="Verdana" w:hAnsi="Verdana"/>
          <w:sz w:val="20"/>
          <w:szCs w:val="20"/>
          <w:lang w:val="es-ES"/>
        </w:rPr>
        <w:t xml:space="preserve"> que </w:t>
      </w:r>
      <w:r w:rsidR="006A2084" w:rsidRPr="00975033">
        <w:rPr>
          <w:rFonts w:ascii="Verdana" w:hAnsi="Verdana"/>
          <w:sz w:val="20"/>
          <w:szCs w:val="20"/>
          <w:lang w:val="es-ES"/>
        </w:rPr>
        <w:t>d</w:t>
      </w:r>
      <w:r w:rsidR="006D5C52" w:rsidRPr="00975033">
        <w:rPr>
          <w:rFonts w:ascii="Verdana" w:hAnsi="Verdana"/>
          <w:sz w:val="20"/>
          <w:szCs w:val="20"/>
          <w:lang w:val="es-ES"/>
        </w:rPr>
        <w:t xml:space="preserve">icho programa necesitará la inversión considerable de recursos públicos, toda vez que se trata de una política estructural, </w:t>
      </w:r>
      <w:r w:rsidR="00087E67" w:rsidRPr="00975033">
        <w:rPr>
          <w:rFonts w:ascii="Verdana" w:hAnsi="Verdana"/>
          <w:sz w:val="20"/>
          <w:szCs w:val="20"/>
          <w:lang w:val="es-ES"/>
        </w:rPr>
        <w:t>cuyo</w:t>
      </w:r>
      <w:r w:rsidR="006D5C52" w:rsidRPr="00975033">
        <w:rPr>
          <w:rFonts w:ascii="Verdana" w:hAnsi="Verdana"/>
          <w:sz w:val="20"/>
          <w:szCs w:val="20"/>
          <w:lang w:val="es-ES"/>
        </w:rPr>
        <w:t xml:space="preserve"> </w:t>
      </w:r>
      <w:r w:rsidR="006A2084" w:rsidRPr="00975033">
        <w:rPr>
          <w:rFonts w:ascii="Verdana" w:hAnsi="Verdana"/>
          <w:sz w:val="20"/>
          <w:szCs w:val="20"/>
          <w:lang w:val="es-ES"/>
        </w:rPr>
        <w:t xml:space="preserve">principal </w:t>
      </w:r>
      <w:r w:rsidR="006D5C52" w:rsidRPr="00975033">
        <w:rPr>
          <w:rFonts w:ascii="Verdana" w:hAnsi="Verdana"/>
          <w:sz w:val="20"/>
          <w:szCs w:val="20"/>
          <w:lang w:val="es-ES"/>
        </w:rPr>
        <w:t>objet</w:t>
      </w:r>
      <w:r w:rsidR="006A2084" w:rsidRPr="00975033">
        <w:rPr>
          <w:rFonts w:ascii="Verdana" w:hAnsi="Verdana"/>
          <w:sz w:val="20"/>
          <w:szCs w:val="20"/>
          <w:lang w:val="es-ES"/>
        </w:rPr>
        <w:t>ivo</w:t>
      </w:r>
      <w:r w:rsidR="006D5C52" w:rsidRPr="00975033">
        <w:rPr>
          <w:rFonts w:ascii="Verdana" w:hAnsi="Verdana"/>
          <w:sz w:val="20"/>
          <w:szCs w:val="20"/>
          <w:lang w:val="es-ES"/>
        </w:rPr>
        <w:t xml:space="preserve"> </w:t>
      </w:r>
      <w:r w:rsidR="006A2084" w:rsidRPr="00975033">
        <w:rPr>
          <w:rFonts w:ascii="Verdana" w:hAnsi="Verdana"/>
          <w:sz w:val="20"/>
          <w:szCs w:val="20"/>
          <w:lang w:val="es-ES"/>
        </w:rPr>
        <w:t>es</w:t>
      </w:r>
      <w:r w:rsidR="006D5C52" w:rsidRPr="00975033">
        <w:rPr>
          <w:rFonts w:ascii="Verdana" w:hAnsi="Verdana"/>
          <w:sz w:val="20"/>
          <w:szCs w:val="20"/>
          <w:lang w:val="es-ES"/>
        </w:rPr>
        <w:t xml:space="preserve"> permitir </w:t>
      </w:r>
      <w:r w:rsidR="006A2084" w:rsidRPr="00975033">
        <w:rPr>
          <w:rFonts w:ascii="Verdana" w:hAnsi="Verdana"/>
          <w:sz w:val="20"/>
          <w:szCs w:val="20"/>
          <w:lang w:val="es-ES"/>
        </w:rPr>
        <w:t xml:space="preserve">que </w:t>
      </w:r>
      <w:r w:rsidR="006D5C52" w:rsidRPr="00975033">
        <w:rPr>
          <w:rFonts w:ascii="Verdana" w:hAnsi="Verdana"/>
          <w:sz w:val="20"/>
          <w:szCs w:val="20"/>
          <w:lang w:val="es-ES"/>
        </w:rPr>
        <w:t>la población vulnerable de Santo Antônio de Jesus</w:t>
      </w:r>
      <w:r w:rsidR="006A2084" w:rsidRPr="00975033">
        <w:rPr>
          <w:rFonts w:ascii="Verdana" w:hAnsi="Verdana"/>
          <w:sz w:val="20"/>
          <w:szCs w:val="20"/>
          <w:lang w:val="es-ES"/>
        </w:rPr>
        <w:t xml:space="preserve"> pueda acceder a otros mercados laborales. </w:t>
      </w:r>
      <w:r w:rsidR="000D5A37" w:rsidRPr="00975033">
        <w:rPr>
          <w:rFonts w:ascii="Verdana" w:hAnsi="Verdana"/>
          <w:sz w:val="20"/>
          <w:szCs w:val="20"/>
          <w:lang w:val="es-ES"/>
        </w:rPr>
        <w:t>Ello</w:t>
      </w:r>
      <w:r w:rsidR="00CB2F26" w:rsidRPr="00975033">
        <w:rPr>
          <w:rFonts w:ascii="Verdana" w:hAnsi="Verdana"/>
          <w:sz w:val="20"/>
          <w:szCs w:val="20"/>
          <w:lang w:val="es-ES"/>
        </w:rPr>
        <w:t>, además, sin perjuicio de los eventuales impactos que</w:t>
      </w:r>
      <w:r w:rsidR="00A126A8">
        <w:rPr>
          <w:rFonts w:ascii="Verdana" w:hAnsi="Verdana"/>
          <w:sz w:val="20"/>
          <w:szCs w:val="20"/>
          <w:lang w:val="es-ES"/>
        </w:rPr>
        <w:t>,</w:t>
      </w:r>
      <w:r w:rsidR="00CB2F26" w:rsidRPr="00975033">
        <w:rPr>
          <w:rFonts w:ascii="Verdana" w:hAnsi="Verdana"/>
          <w:sz w:val="20"/>
          <w:szCs w:val="20"/>
          <w:lang w:val="es-ES"/>
        </w:rPr>
        <w:t xml:space="preserve"> en materia de prohibición de regresividad</w:t>
      </w:r>
      <w:r w:rsidR="00A126A8">
        <w:rPr>
          <w:rFonts w:ascii="Verdana" w:hAnsi="Verdana"/>
          <w:sz w:val="20"/>
          <w:szCs w:val="20"/>
          <w:lang w:val="es-ES"/>
        </w:rPr>
        <w:t>,</w:t>
      </w:r>
      <w:r w:rsidR="00CB2F26" w:rsidRPr="00975033">
        <w:rPr>
          <w:rFonts w:ascii="Verdana" w:hAnsi="Verdana"/>
          <w:sz w:val="20"/>
          <w:szCs w:val="20"/>
          <w:lang w:val="es-ES"/>
        </w:rPr>
        <w:t xml:space="preserve"> puede llegar a tener la implementación de las disposiciones contenidas en la EC/95.</w:t>
      </w:r>
    </w:p>
    <w:p w14:paraId="2135ED6E" w14:textId="77777777" w:rsidR="001545AB" w:rsidRPr="00975033" w:rsidRDefault="001545AB" w:rsidP="00975033">
      <w:pPr>
        <w:pStyle w:val="Prrafodelista"/>
        <w:snapToGrid w:val="0"/>
        <w:spacing w:after="0" w:line="240" w:lineRule="auto"/>
        <w:contextualSpacing w:val="0"/>
        <w:rPr>
          <w:rFonts w:ascii="Verdana" w:hAnsi="Verdana"/>
          <w:sz w:val="20"/>
          <w:szCs w:val="20"/>
          <w:lang w:val="es-ES"/>
        </w:rPr>
      </w:pPr>
    </w:p>
    <w:p w14:paraId="2CE24F0D" w14:textId="2BACC9B4" w:rsidR="00D646CD" w:rsidRPr="00975033" w:rsidRDefault="00D341CB" w:rsidP="00975033">
      <w:pPr>
        <w:pStyle w:val="Prrafodelista"/>
        <w:numPr>
          <w:ilvl w:val="0"/>
          <w:numId w:val="6"/>
        </w:numPr>
        <w:snapToGrid w:val="0"/>
        <w:spacing w:after="0" w:line="240" w:lineRule="auto"/>
        <w:ind w:left="0" w:firstLine="0"/>
        <w:contextualSpacing w:val="0"/>
        <w:jc w:val="both"/>
        <w:rPr>
          <w:rFonts w:ascii="Verdana" w:hAnsi="Verdana"/>
          <w:sz w:val="20"/>
          <w:szCs w:val="20"/>
          <w:lang w:val="es-ES"/>
        </w:rPr>
      </w:pPr>
      <w:r w:rsidRPr="00975033">
        <w:rPr>
          <w:rFonts w:ascii="Verdana" w:hAnsi="Verdana"/>
          <w:sz w:val="20"/>
          <w:szCs w:val="20"/>
          <w:lang w:val="es-ES"/>
        </w:rPr>
        <w:t>Tomando en cuenta l</w:t>
      </w:r>
      <w:r w:rsidR="006D4941" w:rsidRPr="00975033">
        <w:rPr>
          <w:rFonts w:ascii="Verdana" w:hAnsi="Verdana"/>
          <w:sz w:val="20"/>
          <w:szCs w:val="20"/>
          <w:lang w:val="es-ES"/>
        </w:rPr>
        <w:t xml:space="preserve">as consideraciones previamente expuestas, </w:t>
      </w:r>
      <w:r w:rsidRPr="00975033">
        <w:rPr>
          <w:rFonts w:ascii="Verdana" w:hAnsi="Verdana"/>
          <w:sz w:val="20"/>
          <w:szCs w:val="20"/>
          <w:lang w:val="es-ES"/>
        </w:rPr>
        <w:t>e</w:t>
      </w:r>
      <w:r w:rsidR="001545AB" w:rsidRPr="00975033">
        <w:rPr>
          <w:rFonts w:ascii="Verdana" w:hAnsi="Verdana"/>
          <w:sz w:val="20"/>
          <w:szCs w:val="20"/>
          <w:lang w:val="es-ES"/>
        </w:rPr>
        <w:t xml:space="preserve">s imprescindible que el Estado de Brasil, </w:t>
      </w:r>
      <w:r w:rsidR="00422E59" w:rsidRPr="00975033">
        <w:rPr>
          <w:rFonts w:ascii="Verdana" w:hAnsi="Verdana"/>
          <w:sz w:val="20"/>
          <w:szCs w:val="20"/>
          <w:lang w:val="es-ES"/>
        </w:rPr>
        <w:t xml:space="preserve"> </w:t>
      </w:r>
      <w:r w:rsidR="00D8481F">
        <w:rPr>
          <w:rFonts w:ascii="Verdana" w:hAnsi="Verdana"/>
          <w:sz w:val="20"/>
          <w:szCs w:val="20"/>
          <w:lang w:val="es-ES"/>
        </w:rPr>
        <w:t xml:space="preserve">con el propósito de dar cumplimiento a las </w:t>
      </w:r>
      <w:r w:rsidR="00D8481F">
        <w:rPr>
          <w:rFonts w:ascii="Verdana" w:hAnsi="Verdana"/>
          <w:sz w:val="20"/>
          <w:szCs w:val="20"/>
          <w:lang w:val="es-ES"/>
        </w:rPr>
        <w:lastRenderedPageBreak/>
        <w:t>medidas de reparación</w:t>
      </w:r>
      <w:r w:rsidR="007E502E">
        <w:rPr>
          <w:rFonts w:ascii="Verdana" w:hAnsi="Verdana"/>
          <w:sz w:val="20"/>
          <w:szCs w:val="20"/>
          <w:lang w:val="es-ES"/>
        </w:rPr>
        <w:t>, deberá garantizar la aplicación de los principios de progresividad y no regresividad</w:t>
      </w:r>
      <w:r w:rsidR="003B27DD">
        <w:rPr>
          <w:rFonts w:ascii="Verdana" w:hAnsi="Verdana"/>
          <w:sz w:val="20"/>
          <w:szCs w:val="20"/>
          <w:lang w:val="es-ES"/>
        </w:rPr>
        <w:t xml:space="preserve">, desde una interpretación conforme con la Convención Americana </w:t>
      </w:r>
      <w:r w:rsidR="00A126A8">
        <w:rPr>
          <w:rFonts w:ascii="Verdana" w:hAnsi="Verdana"/>
          <w:sz w:val="20"/>
          <w:szCs w:val="20"/>
          <w:lang w:val="es-ES"/>
        </w:rPr>
        <w:t>sobre</w:t>
      </w:r>
      <w:r w:rsidR="003B27DD">
        <w:rPr>
          <w:rFonts w:ascii="Verdana" w:hAnsi="Verdana"/>
          <w:sz w:val="20"/>
          <w:szCs w:val="20"/>
          <w:lang w:val="es-ES"/>
        </w:rPr>
        <w:t xml:space="preserve"> los Derechos Humanos y </w:t>
      </w:r>
      <w:r w:rsidR="00CC660F">
        <w:rPr>
          <w:rFonts w:ascii="Verdana" w:hAnsi="Verdana"/>
          <w:sz w:val="20"/>
          <w:szCs w:val="20"/>
          <w:lang w:val="es-ES"/>
        </w:rPr>
        <w:t>con</w:t>
      </w:r>
      <w:r w:rsidR="003B27DD">
        <w:rPr>
          <w:rFonts w:ascii="Verdana" w:hAnsi="Verdana"/>
          <w:sz w:val="20"/>
          <w:szCs w:val="20"/>
          <w:lang w:val="es-ES"/>
        </w:rPr>
        <w:t xml:space="preserve"> aplicación del Control de Convencionalidad, </w:t>
      </w:r>
      <w:r w:rsidR="00CC660F">
        <w:rPr>
          <w:rFonts w:ascii="Verdana" w:hAnsi="Verdana"/>
          <w:sz w:val="20"/>
          <w:szCs w:val="20"/>
          <w:lang w:val="es-ES"/>
        </w:rPr>
        <w:t xml:space="preserve">a la luz de la jurisprudencia de este Tribunal internacional, donde claramente está vedada la alegación de </w:t>
      </w:r>
      <w:r w:rsidR="007E502E">
        <w:rPr>
          <w:rFonts w:ascii="Verdana" w:hAnsi="Verdana"/>
          <w:sz w:val="20"/>
          <w:szCs w:val="20"/>
          <w:lang w:val="es-ES"/>
        </w:rPr>
        <w:t>existencia de normativa interna vigente</w:t>
      </w:r>
      <w:r w:rsidR="00CC660F">
        <w:rPr>
          <w:rFonts w:ascii="Verdana" w:hAnsi="Verdana"/>
          <w:sz w:val="20"/>
          <w:szCs w:val="20"/>
          <w:lang w:val="es-ES"/>
        </w:rPr>
        <w:t>,</w:t>
      </w:r>
      <w:r w:rsidR="007E502E">
        <w:rPr>
          <w:rFonts w:ascii="Verdana" w:hAnsi="Verdana"/>
          <w:sz w:val="20"/>
          <w:szCs w:val="20"/>
          <w:lang w:val="es-ES"/>
        </w:rPr>
        <w:t xml:space="preserve"> para incumplir o evadir </w:t>
      </w:r>
      <w:r w:rsidR="00CC660F">
        <w:rPr>
          <w:rFonts w:ascii="Verdana" w:hAnsi="Verdana"/>
          <w:sz w:val="20"/>
          <w:szCs w:val="20"/>
          <w:lang w:val="es-ES"/>
        </w:rPr>
        <w:t>las</w:t>
      </w:r>
      <w:r w:rsidR="007E502E">
        <w:rPr>
          <w:rFonts w:ascii="Verdana" w:hAnsi="Verdana"/>
          <w:sz w:val="20"/>
          <w:szCs w:val="20"/>
          <w:lang w:val="es-ES"/>
        </w:rPr>
        <w:t xml:space="preserve"> responsabilidades internacionales que emanan de </w:t>
      </w:r>
      <w:r w:rsidR="00CC660F">
        <w:rPr>
          <w:rFonts w:ascii="Verdana" w:hAnsi="Verdana"/>
          <w:sz w:val="20"/>
          <w:szCs w:val="20"/>
          <w:lang w:val="es-ES"/>
        </w:rPr>
        <w:t>l</w:t>
      </w:r>
      <w:r w:rsidR="007E502E">
        <w:rPr>
          <w:rFonts w:ascii="Verdana" w:hAnsi="Verdana"/>
          <w:sz w:val="20"/>
          <w:szCs w:val="20"/>
          <w:lang w:val="es-ES"/>
        </w:rPr>
        <w:t xml:space="preserve">a sentencia.  </w:t>
      </w:r>
    </w:p>
    <w:p w14:paraId="00FF6EEF" w14:textId="77777777" w:rsidR="00D646CD" w:rsidRPr="00975033" w:rsidRDefault="00D646CD" w:rsidP="00975033">
      <w:pPr>
        <w:snapToGrid w:val="0"/>
        <w:jc w:val="both"/>
        <w:rPr>
          <w:rFonts w:ascii="Verdana" w:hAnsi="Verdana" w:cs="Calibri"/>
          <w:sz w:val="20"/>
          <w:szCs w:val="20"/>
          <w:lang w:val="es-ES"/>
        </w:rPr>
      </w:pPr>
    </w:p>
    <w:p w14:paraId="624F65B1" w14:textId="77777777" w:rsidR="001B6F86" w:rsidRPr="00975033" w:rsidRDefault="001B6F86" w:rsidP="00975033">
      <w:pPr>
        <w:pStyle w:val="Prrafodelista"/>
        <w:snapToGrid w:val="0"/>
        <w:spacing w:after="0" w:line="240" w:lineRule="auto"/>
        <w:ind w:left="0"/>
        <w:contextualSpacing w:val="0"/>
        <w:jc w:val="both"/>
        <w:rPr>
          <w:rFonts w:ascii="Verdana" w:hAnsi="Verdana"/>
          <w:sz w:val="20"/>
          <w:szCs w:val="20"/>
          <w:lang w:val="es-ES"/>
        </w:rPr>
      </w:pPr>
    </w:p>
    <w:p w14:paraId="1AFD3136" w14:textId="77777777" w:rsidR="00975618" w:rsidRPr="00975033" w:rsidRDefault="00975618" w:rsidP="00975033">
      <w:pPr>
        <w:pStyle w:val="Prrafodelista"/>
        <w:snapToGrid w:val="0"/>
        <w:spacing w:after="0" w:line="240" w:lineRule="auto"/>
        <w:ind w:left="0"/>
        <w:contextualSpacing w:val="0"/>
        <w:jc w:val="both"/>
        <w:rPr>
          <w:rFonts w:ascii="Verdana" w:hAnsi="Verdana"/>
          <w:sz w:val="20"/>
          <w:szCs w:val="20"/>
          <w:lang w:val="es-ES"/>
        </w:rPr>
      </w:pPr>
    </w:p>
    <w:p w14:paraId="7E55B7DC" w14:textId="77777777" w:rsidR="003A7AAC" w:rsidRPr="00975033" w:rsidRDefault="003A7AAC" w:rsidP="00975033">
      <w:pPr>
        <w:snapToGrid w:val="0"/>
        <w:jc w:val="both"/>
        <w:rPr>
          <w:rFonts w:ascii="Verdana" w:hAnsi="Verdana"/>
          <w:sz w:val="20"/>
          <w:szCs w:val="20"/>
          <w:highlight w:val="yellow"/>
          <w:lang w:val="es-ES"/>
        </w:rPr>
      </w:pPr>
    </w:p>
    <w:p w14:paraId="397B6B8F" w14:textId="77777777" w:rsidR="00355546" w:rsidRPr="00975033" w:rsidRDefault="00355546" w:rsidP="00975033">
      <w:pPr>
        <w:snapToGrid w:val="0"/>
        <w:jc w:val="both"/>
        <w:rPr>
          <w:rFonts w:ascii="Verdana" w:hAnsi="Verdana"/>
          <w:sz w:val="20"/>
          <w:szCs w:val="20"/>
          <w:highlight w:val="yellow"/>
          <w:lang w:val="es-ES"/>
        </w:rPr>
      </w:pPr>
    </w:p>
    <w:p w14:paraId="1EDE89C9" w14:textId="77777777" w:rsidR="00A94FAC" w:rsidRPr="00975033" w:rsidRDefault="00A94FAC" w:rsidP="001D18D7">
      <w:pPr>
        <w:snapToGrid w:val="0"/>
        <w:jc w:val="both"/>
        <w:rPr>
          <w:rFonts w:ascii="Verdana" w:hAnsi="Verdana" w:cs="Arial"/>
          <w:sz w:val="20"/>
          <w:szCs w:val="20"/>
          <w:lang w:val="es-ES"/>
        </w:rPr>
      </w:pPr>
    </w:p>
    <w:p w14:paraId="5A58AA87" w14:textId="77777777" w:rsidR="00A94FAC" w:rsidRPr="00975033" w:rsidRDefault="00A94FAC" w:rsidP="00975033">
      <w:pPr>
        <w:snapToGrid w:val="0"/>
        <w:ind w:left="4248"/>
        <w:jc w:val="both"/>
        <w:rPr>
          <w:rFonts w:ascii="Verdana" w:hAnsi="Verdana" w:cs="Arial"/>
          <w:sz w:val="20"/>
          <w:szCs w:val="20"/>
          <w:lang w:val="es-ES"/>
        </w:rPr>
      </w:pPr>
      <w:r w:rsidRPr="00975033">
        <w:rPr>
          <w:rFonts w:ascii="Verdana" w:hAnsi="Verdana" w:cs="Arial"/>
          <w:sz w:val="20"/>
          <w:szCs w:val="20"/>
          <w:lang w:val="es-ES"/>
        </w:rPr>
        <w:t>L. Patricio Pazmiño Freire</w:t>
      </w:r>
    </w:p>
    <w:p w14:paraId="1692D3F6" w14:textId="77777777" w:rsidR="00A94FAC" w:rsidRPr="00975033" w:rsidRDefault="00A94FAC" w:rsidP="00975033">
      <w:pPr>
        <w:snapToGrid w:val="0"/>
        <w:ind w:left="4248"/>
        <w:jc w:val="both"/>
        <w:rPr>
          <w:rFonts w:ascii="Verdana" w:hAnsi="Verdana" w:cs="Arial"/>
          <w:sz w:val="20"/>
          <w:szCs w:val="20"/>
          <w:lang w:val="es-ES"/>
        </w:rPr>
      </w:pPr>
      <w:r w:rsidRPr="00975033">
        <w:rPr>
          <w:rFonts w:ascii="Verdana" w:hAnsi="Verdana" w:cs="Arial"/>
          <w:sz w:val="20"/>
          <w:szCs w:val="20"/>
          <w:lang w:val="es-ES"/>
        </w:rPr>
        <w:t>Juez</w:t>
      </w:r>
    </w:p>
    <w:p w14:paraId="19DA52D2" w14:textId="5BEEADBB" w:rsidR="00355546" w:rsidRDefault="00355546" w:rsidP="00975033">
      <w:pPr>
        <w:snapToGrid w:val="0"/>
        <w:jc w:val="both"/>
        <w:rPr>
          <w:rFonts w:ascii="Verdana" w:hAnsi="Verdana" w:cs="Arial"/>
          <w:sz w:val="20"/>
          <w:szCs w:val="20"/>
          <w:lang w:val="es-ES"/>
        </w:rPr>
      </w:pPr>
    </w:p>
    <w:p w14:paraId="6E8BBC08" w14:textId="01B96004" w:rsidR="00517B39" w:rsidRDefault="00517B39" w:rsidP="00975033">
      <w:pPr>
        <w:snapToGrid w:val="0"/>
        <w:jc w:val="both"/>
        <w:rPr>
          <w:rFonts w:ascii="Verdana" w:hAnsi="Verdana" w:cs="Arial"/>
          <w:sz w:val="20"/>
          <w:szCs w:val="20"/>
          <w:lang w:val="es-ES"/>
        </w:rPr>
      </w:pPr>
    </w:p>
    <w:p w14:paraId="3FA53C84" w14:textId="410F5D3C" w:rsidR="00517B39" w:rsidRDefault="00517B39" w:rsidP="00975033">
      <w:pPr>
        <w:snapToGrid w:val="0"/>
        <w:jc w:val="both"/>
        <w:rPr>
          <w:rFonts w:ascii="Verdana" w:hAnsi="Verdana" w:cs="Arial"/>
          <w:sz w:val="20"/>
          <w:szCs w:val="20"/>
          <w:lang w:val="es-ES"/>
        </w:rPr>
      </w:pPr>
    </w:p>
    <w:p w14:paraId="0578AA01" w14:textId="011EAEBA" w:rsidR="00517B39" w:rsidRDefault="00517B39" w:rsidP="00975033">
      <w:pPr>
        <w:snapToGrid w:val="0"/>
        <w:jc w:val="both"/>
        <w:rPr>
          <w:rFonts w:ascii="Verdana" w:hAnsi="Verdana" w:cs="Arial"/>
          <w:sz w:val="20"/>
          <w:szCs w:val="20"/>
          <w:lang w:val="es-ES"/>
        </w:rPr>
      </w:pPr>
    </w:p>
    <w:p w14:paraId="1121B831" w14:textId="55A3E021" w:rsidR="00517B39" w:rsidRDefault="00517B39" w:rsidP="00975033">
      <w:pPr>
        <w:snapToGrid w:val="0"/>
        <w:jc w:val="both"/>
        <w:rPr>
          <w:rFonts w:ascii="Verdana" w:hAnsi="Verdana" w:cs="Arial"/>
          <w:sz w:val="20"/>
          <w:szCs w:val="20"/>
          <w:lang w:val="es-ES"/>
        </w:rPr>
      </w:pPr>
    </w:p>
    <w:p w14:paraId="0ADA3D67" w14:textId="77777777" w:rsidR="00517B39" w:rsidRPr="00975033" w:rsidRDefault="00517B39" w:rsidP="00975033">
      <w:pPr>
        <w:snapToGrid w:val="0"/>
        <w:jc w:val="both"/>
        <w:rPr>
          <w:rFonts w:ascii="Verdana" w:hAnsi="Verdana" w:cs="Arial"/>
          <w:sz w:val="20"/>
          <w:szCs w:val="20"/>
          <w:lang w:val="es-ES"/>
        </w:rPr>
      </w:pPr>
    </w:p>
    <w:p w14:paraId="67A7FC95" w14:textId="77777777" w:rsidR="00A94FAC" w:rsidRPr="00975033" w:rsidRDefault="00A94FAC" w:rsidP="00975033">
      <w:pPr>
        <w:snapToGrid w:val="0"/>
        <w:jc w:val="both"/>
        <w:rPr>
          <w:rFonts w:ascii="Verdana" w:hAnsi="Verdana" w:cs="Arial"/>
          <w:sz w:val="20"/>
          <w:szCs w:val="20"/>
          <w:lang w:val="es-ES"/>
        </w:rPr>
      </w:pPr>
      <w:r w:rsidRPr="00975033">
        <w:rPr>
          <w:rFonts w:ascii="Verdana" w:hAnsi="Verdana" w:cs="Arial"/>
          <w:sz w:val="20"/>
          <w:szCs w:val="20"/>
          <w:lang w:val="es-ES"/>
        </w:rPr>
        <w:t>Pablo Saavedra Alessandri</w:t>
      </w:r>
    </w:p>
    <w:p w14:paraId="3291C61C" w14:textId="77777777" w:rsidR="003D7617" w:rsidRPr="00975033" w:rsidRDefault="00C420A9" w:rsidP="00975033">
      <w:pPr>
        <w:snapToGrid w:val="0"/>
        <w:jc w:val="both"/>
        <w:rPr>
          <w:rFonts w:ascii="Verdana" w:hAnsi="Verdana"/>
          <w:sz w:val="20"/>
          <w:szCs w:val="20"/>
          <w:lang w:val="es-ES"/>
        </w:rPr>
      </w:pPr>
      <w:r w:rsidRPr="00975033">
        <w:rPr>
          <w:rFonts w:ascii="Verdana" w:hAnsi="Verdana" w:cs="Arial"/>
          <w:sz w:val="20"/>
          <w:szCs w:val="20"/>
          <w:lang w:val="es-ES"/>
        </w:rPr>
        <w:t xml:space="preserve">   </w:t>
      </w:r>
      <w:r w:rsidR="00A94FAC" w:rsidRPr="00975033">
        <w:rPr>
          <w:rFonts w:ascii="Verdana" w:hAnsi="Verdana" w:cs="Arial"/>
          <w:sz w:val="20"/>
          <w:szCs w:val="20"/>
          <w:lang w:val="es-ES"/>
        </w:rPr>
        <w:t>Secretario</w:t>
      </w:r>
      <w:bookmarkEnd w:id="0"/>
    </w:p>
    <w:sectPr w:rsidR="003D7617" w:rsidRPr="00975033" w:rsidSect="00081C2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997A" w14:textId="77777777" w:rsidR="006C0C6A" w:rsidRDefault="006C0C6A" w:rsidP="007A7A01">
      <w:r>
        <w:separator/>
      </w:r>
    </w:p>
  </w:endnote>
  <w:endnote w:type="continuationSeparator" w:id="0">
    <w:p w14:paraId="016B2A03" w14:textId="77777777" w:rsidR="006C0C6A" w:rsidRDefault="006C0C6A" w:rsidP="007A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4074" w14:textId="77777777" w:rsidR="006C0C6A" w:rsidRDefault="006C0C6A" w:rsidP="007A7A01">
      <w:r>
        <w:separator/>
      </w:r>
    </w:p>
  </w:footnote>
  <w:footnote w:type="continuationSeparator" w:id="0">
    <w:p w14:paraId="415A2316" w14:textId="77777777" w:rsidR="006C0C6A" w:rsidRDefault="006C0C6A" w:rsidP="007A7A01">
      <w:r>
        <w:continuationSeparator/>
      </w:r>
    </w:p>
  </w:footnote>
  <w:footnote w:id="1">
    <w:p w14:paraId="020CD323"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t>Párrafos 70, 91, 183, 185-191, 197, 200, 201 y 203.</w:t>
      </w:r>
    </w:p>
  </w:footnote>
  <w:footnote w:id="2">
    <w:p w14:paraId="410C899B"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t>Párrafo 203.</w:t>
      </w:r>
    </w:p>
  </w:footnote>
  <w:footnote w:id="3">
    <w:p w14:paraId="1907D961"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t>Párrafo 188.</w:t>
      </w:r>
    </w:p>
  </w:footnote>
  <w:footnote w:id="4">
    <w:p w14:paraId="5D2B0F17"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t>Párrafo 175.</w:t>
      </w:r>
    </w:p>
  </w:footnote>
  <w:footnote w:id="5">
    <w:p w14:paraId="57EECFAD"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t>Párrafos 289 y 290.</w:t>
      </w:r>
    </w:p>
  </w:footnote>
  <w:footnote w:id="6">
    <w:p w14:paraId="7FA21661"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3C7C29">
        <w:rPr>
          <w:rFonts w:ascii="Verdana" w:hAnsi="Verdana" w:cs="Vani"/>
          <w:sz w:val="16"/>
          <w:szCs w:val="16"/>
          <w:lang w:val="es-CO"/>
        </w:rPr>
        <w:t xml:space="preserve"> Enmienda Constitucional N</w:t>
      </w:r>
      <w:r w:rsidRPr="003C7C29">
        <w:rPr>
          <w:rFonts w:ascii="Verdana" w:hAnsi="Verdana" w:cs="Vani"/>
          <w:sz w:val="16"/>
          <w:szCs w:val="16"/>
          <w:vertAlign w:val="superscript"/>
          <w:lang w:val="es-CO"/>
        </w:rPr>
        <w:t>o</w:t>
      </w:r>
      <w:r w:rsidRPr="003C7C29">
        <w:rPr>
          <w:rFonts w:ascii="Verdana" w:hAnsi="Verdana" w:cs="Vani"/>
          <w:sz w:val="16"/>
          <w:szCs w:val="16"/>
          <w:lang w:val="es-CO"/>
        </w:rPr>
        <w:t xml:space="preserve">. 95, de 15 de diciembre de 2016 (expediente de prueba 4356 a 4360), disponible en: </w:t>
      </w:r>
      <w:hyperlink r:id="rId1" w:history="1">
        <w:r w:rsidRPr="003C7C29">
          <w:rPr>
            <w:rStyle w:val="Hipervnculo"/>
            <w:rFonts w:ascii="Verdana" w:hAnsi="Verdana" w:cs="Vani"/>
            <w:color w:val="auto"/>
            <w:sz w:val="16"/>
            <w:szCs w:val="16"/>
            <w:lang w:val="es-CO"/>
          </w:rPr>
          <w:t>http://www.planalto.gov.br/ccivil_03/constituicao/emendas/emc/emc95.htm</w:t>
        </w:r>
      </w:hyperlink>
      <w:r w:rsidRPr="003C7C29">
        <w:rPr>
          <w:rFonts w:ascii="Verdana" w:hAnsi="Verdana" w:cs="Vani"/>
          <w:sz w:val="16"/>
          <w:szCs w:val="16"/>
          <w:lang w:val="es-CO"/>
        </w:rPr>
        <w:t>.</w:t>
      </w:r>
    </w:p>
  </w:footnote>
  <w:footnote w:id="7">
    <w:p w14:paraId="08419515" w14:textId="44E2D365"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t xml:space="preserve">Propuesta de Enmienda a la Constitución de Brasil 55 y 241 de 2016, disponible en: </w:t>
      </w:r>
      <w:hyperlink r:id="rId2" w:history="1">
        <w:r w:rsidRPr="003C7C29">
          <w:rPr>
            <w:rStyle w:val="Hipervnculo"/>
            <w:rFonts w:ascii="Verdana" w:hAnsi="Verdana" w:cs="Vani"/>
            <w:color w:val="auto"/>
            <w:sz w:val="16"/>
            <w:szCs w:val="16"/>
            <w:lang w:val="es-CO"/>
          </w:rPr>
          <w:t>https://www25.senado.leg.br/web/atividade/materias/-/materia/127337</w:t>
        </w:r>
      </w:hyperlink>
      <w:r w:rsidR="007B356D">
        <w:rPr>
          <w:rStyle w:val="Hipervnculo"/>
          <w:rFonts w:ascii="Verdana" w:hAnsi="Verdana" w:cs="Vani"/>
          <w:color w:val="auto"/>
          <w:sz w:val="16"/>
          <w:szCs w:val="16"/>
          <w:lang w:val="es-CO"/>
        </w:rPr>
        <w:t>.</w:t>
      </w:r>
      <w:r w:rsidRPr="003C7C29">
        <w:rPr>
          <w:rFonts w:ascii="Verdana" w:hAnsi="Verdana" w:cs="Vani"/>
          <w:sz w:val="16"/>
          <w:szCs w:val="16"/>
          <w:lang w:val="es-CO"/>
        </w:rPr>
        <w:t xml:space="preserve"> y </w:t>
      </w:r>
      <w:hyperlink r:id="rId3" w:history="1">
        <w:r w:rsidRPr="003C7C29">
          <w:rPr>
            <w:rStyle w:val="Hipervnculo"/>
            <w:rFonts w:ascii="Verdana" w:hAnsi="Verdana" w:cs="Vani"/>
            <w:color w:val="auto"/>
            <w:sz w:val="16"/>
            <w:szCs w:val="16"/>
            <w:lang w:val="es-CO"/>
          </w:rPr>
          <w:t>https://www.camara.leg.br/proposicoesWeb/fichadetramitacao?idProposicao=2088351</w:t>
        </w:r>
      </w:hyperlink>
      <w:r w:rsidRPr="003C7C29">
        <w:rPr>
          <w:rFonts w:ascii="Verdana" w:hAnsi="Verdana" w:cs="Vani"/>
          <w:sz w:val="16"/>
          <w:szCs w:val="16"/>
          <w:lang w:val="es-CO"/>
        </w:rPr>
        <w:t>.</w:t>
      </w:r>
    </w:p>
  </w:footnote>
  <w:footnote w:id="8">
    <w:p w14:paraId="5700F442"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C803B1" w:rsidRPr="003C7C29">
        <w:rPr>
          <w:rFonts w:ascii="Verdana" w:hAnsi="Verdana" w:cs="Vani"/>
          <w:i/>
          <w:iCs/>
          <w:sz w:val="16"/>
          <w:szCs w:val="16"/>
          <w:lang w:val="es-CO"/>
        </w:rPr>
        <w:t>Cfr.</w:t>
      </w:r>
      <w:r w:rsidR="00C803B1" w:rsidRPr="003C7C29">
        <w:rPr>
          <w:rFonts w:ascii="Verdana" w:hAnsi="Verdana" w:cs="Vani"/>
          <w:sz w:val="16"/>
          <w:szCs w:val="16"/>
          <w:lang w:val="es-CO"/>
        </w:rPr>
        <w:t xml:space="preserve"> Enmienda Constitucional N</w:t>
      </w:r>
      <w:r w:rsidR="00C803B1" w:rsidRPr="003C7C29">
        <w:rPr>
          <w:rFonts w:ascii="Verdana" w:hAnsi="Verdana" w:cs="Vani"/>
          <w:sz w:val="16"/>
          <w:szCs w:val="16"/>
          <w:vertAlign w:val="superscript"/>
          <w:lang w:val="es-CO"/>
        </w:rPr>
        <w:t>o</w:t>
      </w:r>
      <w:r w:rsidR="00C803B1" w:rsidRPr="003C7C29">
        <w:rPr>
          <w:rFonts w:ascii="Verdana" w:hAnsi="Verdana" w:cs="Vani"/>
          <w:sz w:val="16"/>
          <w:szCs w:val="16"/>
          <w:lang w:val="es-CO"/>
        </w:rPr>
        <w:t xml:space="preserve">. 95, </w:t>
      </w:r>
      <w:r w:rsidR="00C803B1" w:rsidRPr="003C7C29">
        <w:rPr>
          <w:rFonts w:ascii="Verdana" w:hAnsi="Verdana" w:cs="Vani"/>
          <w:i/>
          <w:iCs/>
          <w:sz w:val="16"/>
          <w:szCs w:val="16"/>
          <w:lang w:val="es-CO"/>
        </w:rPr>
        <w:t>supra</w:t>
      </w:r>
      <w:r w:rsidR="00C803B1" w:rsidRPr="003C7C29">
        <w:rPr>
          <w:rFonts w:ascii="Verdana" w:hAnsi="Verdana" w:cs="Vani"/>
          <w:sz w:val="16"/>
          <w:szCs w:val="16"/>
          <w:lang w:val="es-CO"/>
        </w:rPr>
        <w:t>, Artículo 1º, Art. 106 del Acto de las Disposiciones Constitucionales Transitorias</w:t>
      </w:r>
      <w:r w:rsidR="004A032A" w:rsidRPr="003C7C29">
        <w:rPr>
          <w:rFonts w:ascii="Verdana" w:hAnsi="Verdana" w:cs="Vani"/>
          <w:sz w:val="16"/>
          <w:szCs w:val="16"/>
          <w:lang w:val="es-CO"/>
        </w:rPr>
        <w:t xml:space="preserve"> (en adelante, “ADCT”)</w:t>
      </w:r>
      <w:r w:rsidR="00C803B1" w:rsidRPr="003C7C29">
        <w:rPr>
          <w:rFonts w:ascii="Verdana" w:hAnsi="Verdana" w:cs="Vani"/>
          <w:sz w:val="16"/>
          <w:szCs w:val="16"/>
          <w:lang w:val="es-CO"/>
        </w:rPr>
        <w:t>.</w:t>
      </w:r>
    </w:p>
  </w:footnote>
  <w:footnote w:id="9">
    <w:p w14:paraId="5AA77991"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9C3B4D" w:rsidRPr="003C7C29">
        <w:rPr>
          <w:rFonts w:ascii="Verdana" w:hAnsi="Verdana" w:cs="Vani"/>
          <w:i/>
          <w:iCs/>
          <w:sz w:val="16"/>
          <w:szCs w:val="16"/>
          <w:lang w:val="es-CO"/>
        </w:rPr>
        <w:t>Cfr.</w:t>
      </w:r>
      <w:r w:rsidR="009C3B4D" w:rsidRPr="003C7C29">
        <w:rPr>
          <w:rFonts w:ascii="Verdana" w:hAnsi="Verdana" w:cs="Vani"/>
          <w:sz w:val="16"/>
          <w:szCs w:val="16"/>
          <w:lang w:val="es-CO"/>
        </w:rPr>
        <w:t xml:space="preserve"> </w:t>
      </w:r>
      <w:r w:rsidR="00A45FB1" w:rsidRPr="003C7C29">
        <w:rPr>
          <w:rFonts w:ascii="Verdana" w:hAnsi="Verdana" w:cs="Vani"/>
          <w:sz w:val="16"/>
          <w:szCs w:val="16"/>
          <w:lang w:val="es-CO"/>
        </w:rPr>
        <w:t>EMI nº 00083/2016 MF MPDG, de 15 de junio de 2016,</w:t>
      </w:r>
      <w:r w:rsidRPr="003C7C29">
        <w:rPr>
          <w:rFonts w:ascii="Verdana" w:hAnsi="Verdana" w:cs="Vani"/>
          <w:sz w:val="16"/>
          <w:szCs w:val="16"/>
          <w:lang w:val="es-CO"/>
        </w:rPr>
        <w:t xml:space="preserve"> disponible en</w:t>
      </w:r>
      <w:r w:rsidR="00A45FB1" w:rsidRPr="003C7C29">
        <w:rPr>
          <w:rFonts w:ascii="Verdana" w:hAnsi="Verdana" w:cs="Vani"/>
          <w:sz w:val="16"/>
          <w:szCs w:val="16"/>
          <w:lang w:val="es-CO"/>
        </w:rPr>
        <w:t xml:space="preserve">: </w:t>
      </w:r>
      <w:r w:rsidRPr="003C7C29">
        <w:rPr>
          <w:rFonts w:ascii="Verdana" w:hAnsi="Verdana" w:cs="Vani"/>
          <w:sz w:val="16"/>
          <w:szCs w:val="16"/>
          <w:lang w:val="es-CO"/>
        </w:rPr>
        <w:t xml:space="preserve"> </w:t>
      </w:r>
      <w:hyperlink r:id="rId4" w:history="1">
        <w:r w:rsidRPr="003C7C29">
          <w:rPr>
            <w:rStyle w:val="Hipervnculo"/>
            <w:rFonts w:ascii="Verdana" w:hAnsi="Verdana" w:cs="Vani"/>
            <w:color w:val="auto"/>
            <w:sz w:val="16"/>
            <w:szCs w:val="16"/>
            <w:lang w:val="es-CO"/>
          </w:rPr>
          <w:t>https://www.camara.leg.br/proposicoesWeb/prop_mostrarintegra?codteor=1468431&amp;filename=PEC+241/2016</w:t>
        </w:r>
      </w:hyperlink>
      <w:r w:rsidRPr="003C7C29">
        <w:rPr>
          <w:rFonts w:ascii="Verdana" w:hAnsi="Verdana" w:cs="Vani"/>
          <w:sz w:val="16"/>
          <w:szCs w:val="16"/>
          <w:lang w:val="es-CO"/>
        </w:rPr>
        <w:t>.</w:t>
      </w:r>
    </w:p>
  </w:footnote>
  <w:footnote w:id="10">
    <w:p w14:paraId="65EF9799"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A45FB1" w:rsidRPr="003C7C29">
        <w:rPr>
          <w:rFonts w:ascii="Verdana" w:hAnsi="Verdana" w:cs="Vani"/>
          <w:i/>
          <w:iCs/>
          <w:sz w:val="16"/>
          <w:szCs w:val="16"/>
          <w:lang w:val="es-CO"/>
        </w:rPr>
        <w:t>Cfr.</w:t>
      </w:r>
      <w:r w:rsidR="00A45FB1" w:rsidRPr="003C7C29">
        <w:rPr>
          <w:rFonts w:ascii="Verdana" w:hAnsi="Verdana" w:cs="Vani"/>
          <w:sz w:val="16"/>
          <w:szCs w:val="16"/>
          <w:lang w:val="es-CO"/>
        </w:rPr>
        <w:t xml:space="preserve"> EMI nº 00083/2016 MF MPDG, </w:t>
      </w:r>
      <w:r w:rsidR="00A45FB1" w:rsidRPr="003C7C29">
        <w:rPr>
          <w:rFonts w:ascii="Verdana" w:hAnsi="Verdana" w:cs="Vani"/>
          <w:i/>
          <w:iCs/>
          <w:sz w:val="16"/>
          <w:szCs w:val="16"/>
          <w:lang w:val="es-CO"/>
        </w:rPr>
        <w:t>supra</w:t>
      </w:r>
      <w:r w:rsidR="00A45FB1" w:rsidRPr="003C7C29">
        <w:rPr>
          <w:rFonts w:ascii="Verdana" w:hAnsi="Verdana" w:cs="Vani"/>
          <w:sz w:val="16"/>
          <w:szCs w:val="16"/>
          <w:lang w:val="es-CO"/>
        </w:rPr>
        <w:t>, párr. 8</w:t>
      </w:r>
      <w:r w:rsidRPr="003C7C29">
        <w:rPr>
          <w:rFonts w:ascii="Verdana" w:hAnsi="Verdana" w:cs="Vani"/>
          <w:sz w:val="16"/>
          <w:szCs w:val="16"/>
          <w:lang w:val="es-CO"/>
        </w:rPr>
        <w:t>.</w:t>
      </w:r>
    </w:p>
  </w:footnote>
  <w:footnote w:id="11">
    <w:p w14:paraId="3397C650"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A45FB1" w:rsidRPr="003C7C29">
        <w:rPr>
          <w:rFonts w:ascii="Verdana" w:hAnsi="Verdana" w:cs="Vani"/>
          <w:i/>
          <w:iCs/>
          <w:sz w:val="16"/>
          <w:szCs w:val="16"/>
          <w:lang w:val="es-CO"/>
        </w:rPr>
        <w:t>Cfr.</w:t>
      </w:r>
      <w:r w:rsidR="00A45FB1" w:rsidRPr="003C7C29">
        <w:rPr>
          <w:rFonts w:ascii="Verdana" w:hAnsi="Verdana" w:cs="Vani"/>
          <w:sz w:val="16"/>
          <w:szCs w:val="16"/>
          <w:lang w:val="es-CO"/>
        </w:rPr>
        <w:t xml:space="preserve"> Enmienda Constitucional N</w:t>
      </w:r>
      <w:r w:rsidR="00A45FB1" w:rsidRPr="003C7C29">
        <w:rPr>
          <w:rFonts w:ascii="Verdana" w:hAnsi="Verdana" w:cs="Vani"/>
          <w:sz w:val="16"/>
          <w:szCs w:val="16"/>
          <w:vertAlign w:val="superscript"/>
          <w:lang w:val="es-CO"/>
        </w:rPr>
        <w:t>o</w:t>
      </w:r>
      <w:r w:rsidR="00A45FB1" w:rsidRPr="003C7C29">
        <w:rPr>
          <w:rFonts w:ascii="Verdana" w:hAnsi="Verdana" w:cs="Vani"/>
          <w:sz w:val="16"/>
          <w:szCs w:val="16"/>
          <w:lang w:val="es-CO"/>
        </w:rPr>
        <w:t xml:space="preserve">. 95, </w:t>
      </w:r>
      <w:r w:rsidR="00A45FB1" w:rsidRPr="003C7C29">
        <w:rPr>
          <w:rFonts w:ascii="Verdana" w:hAnsi="Verdana" w:cs="Vani"/>
          <w:i/>
          <w:iCs/>
          <w:sz w:val="16"/>
          <w:szCs w:val="16"/>
          <w:lang w:val="es-CO"/>
        </w:rPr>
        <w:t>supra</w:t>
      </w:r>
      <w:r w:rsidR="00A45FB1" w:rsidRPr="003C7C29">
        <w:rPr>
          <w:rFonts w:ascii="Verdana" w:hAnsi="Verdana" w:cs="Vani"/>
          <w:sz w:val="16"/>
          <w:szCs w:val="16"/>
          <w:lang w:val="es-CO"/>
        </w:rPr>
        <w:t xml:space="preserve">, Artículo 1º, Art. 107 del </w:t>
      </w:r>
      <w:r w:rsidR="004A032A" w:rsidRPr="003C7C29">
        <w:rPr>
          <w:rFonts w:ascii="Verdana" w:hAnsi="Verdana" w:cs="Vani"/>
          <w:sz w:val="16"/>
          <w:szCs w:val="16"/>
          <w:lang w:val="es-CO"/>
        </w:rPr>
        <w:t>ADCT</w:t>
      </w:r>
      <w:r w:rsidR="00A45FB1" w:rsidRPr="003C7C29">
        <w:rPr>
          <w:rFonts w:ascii="Verdana" w:hAnsi="Verdana" w:cs="Vani"/>
          <w:sz w:val="16"/>
          <w:szCs w:val="16"/>
          <w:lang w:val="es-CO"/>
        </w:rPr>
        <w:t>, párr. 1º, I y II</w:t>
      </w:r>
      <w:r w:rsidRPr="003C7C29">
        <w:rPr>
          <w:rFonts w:ascii="Verdana" w:hAnsi="Verdana" w:cs="Vani"/>
          <w:sz w:val="16"/>
          <w:szCs w:val="16"/>
          <w:lang w:val="es-CO"/>
        </w:rPr>
        <w:t>.</w:t>
      </w:r>
    </w:p>
  </w:footnote>
  <w:footnote w:id="12">
    <w:p w14:paraId="609FBCF5"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4A032A" w:rsidRPr="003C7C29">
        <w:rPr>
          <w:rFonts w:ascii="Verdana" w:hAnsi="Verdana" w:cs="Vani"/>
          <w:i/>
          <w:iCs/>
          <w:sz w:val="16"/>
          <w:szCs w:val="16"/>
          <w:lang w:val="es-CO"/>
        </w:rPr>
        <w:t>Cfr.</w:t>
      </w:r>
      <w:r w:rsidR="004A032A" w:rsidRPr="003C7C29">
        <w:rPr>
          <w:rFonts w:ascii="Verdana" w:hAnsi="Verdana" w:cs="Vani"/>
          <w:sz w:val="16"/>
          <w:szCs w:val="16"/>
          <w:lang w:val="es-CO"/>
        </w:rPr>
        <w:t xml:space="preserve"> Enmienda Constitucional N</w:t>
      </w:r>
      <w:r w:rsidR="004A032A" w:rsidRPr="003C7C29">
        <w:rPr>
          <w:rFonts w:ascii="Verdana" w:hAnsi="Verdana" w:cs="Vani"/>
          <w:sz w:val="16"/>
          <w:szCs w:val="16"/>
          <w:vertAlign w:val="superscript"/>
          <w:lang w:val="es-CO"/>
        </w:rPr>
        <w:t>o</w:t>
      </w:r>
      <w:r w:rsidR="004A032A" w:rsidRPr="003C7C29">
        <w:rPr>
          <w:rFonts w:ascii="Verdana" w:hAnsi="Verdana" w:cs="Vani"/>
          <w:sz w:val="16"/>
          <w:szCs w:val="16"/>
          <w:lang w:val="es-CO"/>
        </w:rPr>
        <w:t xml:space="preserve">. 95, </w:t>
      </w:r>
      <w:r w:rsidR="004A032A" w:rsidRPr="003C7C29">
        <w:rPr>
          <w:rFonts w:ascii="Verdana" w:hAnsi="Verdana" w:cs="Vani"/>
          <w:i/>
          <w:iCs/>
          <w:sz w:val="16"/>
          <w:szCs w:val="16"/>
          <w:lang w:val="es-CO"/>
        </w:rPr>
        <w:t>supra</w:t>
      </w:r>
      <w:r w:rsidR="004A032A" w:rsidRPr="003C7C29">
        <w:rPr>
          <w:rFonts w:ascii="Verdana" w:hAnsi="Verdana" w:cs="Vani"/>
          <w:sz w:val="16"/>
          <w:szCs w:val="16"/>
          <w:lang w:val="es-CO"/>
        </w:rPr>
        <w:t>, Artículo 1º, Art. 108 del ADCT</w:t>
      </w:r>
      <w:r w:rsidRPr="003C7C29">
        <w:rPr>
          <w:rFonts w:ascii="Verdana" w:hAnsi="Verdana" w:cs="Vani"/>
          <w:sz w:val="16"/>
          <w:szCs w:val="16"/>
          <w:lang w:val="es-CO"/>
        </w:rPr>
        <w:t>.</w:t>
      </w:r>
    </w:p>
  </w:footnote>
  <w:footnote w:id="13">
    <w:p w14:paraId="6B20F14C" w14:textId="77777777" w:rsidR="009E1CB5" w:rsidRPr="003C7C29" w:rsidRDefault="009E1CB5"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3C7C29">
        <w:rPr>
          <w:rFonts w:ascii="Verdana" w:hAnsi="Verdana" w:cs="Vani"/>
          <w:sz w:val="16"/>
          <w:szCs w:val="16"/>
          <w:lang w:val="es-CO"/>
        </w:rPr>
        <w:t xml:space="preserve"> Enmienda Constitucional N</w:t>
      </w:r>
      <w:r w:rsidRPr="003C7C29">
        <w:rPr>
          <w:rFonts w:ascii="Verdana" w:hAnsi="Verdana" w:cs="Vani"/>
          <w:sz w:val="16"/>
          <w:szCs w:val="16"/>
          <w:vertAlign w:val="superscript"/>
          <w:lang w:val="es-CO"/>
        </w:rPr>
        <w:t>o</w:t>
      </w:r>
      <w:r w:rsidRPr="003C7C29">
        <w:rPr>
          <w:rFonts w:ascii="Verdana" w:hAnsi="Verdana" w:cs="Vani"/>
          <w:sz w:val="16"/>
          <w:szCs w:val="16"/>
          <w:lang w:val="es-CO"/>
        </w:rPr>
        <w:t xml:space="preserve">. 95, </w:t>
      </w:r>
      <w:r w:rsidRPr="003C7C29">
        <w:rPr>
          <w:rFonts w:ascii="Verdana" w:hAnsi="Verdana" w:cs="Vani"/>
          <w:i/>
          <w:iCs/>
          <w:sz w:val="16"/>
          <w:szCs w:val="16"/>
          <w:lang w:val="es-CO"/>
        </w:rPr>
        <w:t>supra</w:t>
      </w:r>
      <w:r w:rsidRPr="003C7C29">
        <w:rPr>
          <w:rFonts w:ascii="Verdana" w:hAnsi="Verdana" w:cs="Vani"/>
          <w:sz w:val="16"/>
          <w:szCs w:val="16"/>
          <w:lang w:val="es-CO"/>
        </w:rPr>
        <w:t>, Artículo 1º, Art. 107 del ADCT, párr. 6º, I, II y III.</w:t>
      </w:r>
    </w:p>
  </w:footnote>
  <w:footnote w:id="14">
    <w:p w14:paraId="69D5D8D5"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2F59F3" w:rsidRPr="003C7C29">
        <w:rPr>
          <w:rFonts w:ascii="Verdana" w:hAnsi="Verdana" w:cs="Vani"/>
          <w:i/>
          <w:iCs/>
          <w:sz w:val="16"/>
          <w:szCs w:val="16"/>
          <w:lang w:val="es-CO"/>
        </w:rPr>
        <w:t>Cfr.</w:t>
      </w:r>
      <w:r w:rsidR="00CC5C59" w:rsidRPr="003C7C29">
        <w:rPr>
          <w:rFonts w:ascii="Verdana" w:hAnsi="Verdana" w:cs="Vani"/>
          <w:sz w:val="16"/>
          <w:szCs w:val="16"/>
          <w:lang w:val="es-CO"/>
        </w:rPr>
        <w:t xml:space="preserve"> </w:t>
      </w:r>
      <w:r w:rsidR="00CC5C59" w:rsidRPr="003C7C29">
        <w:rPr>
          <w:rFonts w:ascii="Verdana" w:hAnsi="Verdana"/>
          <w:sz w:val="16"/>
          <w:szCs w:val="16"/>
          <w:lang w:val="es-CO"/>
        </w:rPr>
        <w:t xml:space="preserve">Constitución de la República Federativa de Brasil, promulgada el 5 de octubre de 1988, Artículo 212, disponible en: </w:t>
      </w:r>
      <w:hyperlink r:id="rId5" w:history="1">
        <w:r w:rsidR="00CC5C59" w:rsidRPr="003C7C29">
          <w:rPr>
            <w:rStyle w:val="Hipervnculo"/>
            <w:rFonts w:ascii="Verdana" w:hAnsi="Verdana"/>
            <w:color w:val="auto"/>
            <w:sz w:val="16"/>
            <w:szCs w:val="16"/>
            <w:lang w:val="es-CO"/>
          </w:rPr>
          <w:t>http://www.planalto.gov.br/ccivil_03/constituicao/constituicao.htm</w:t>
        </w:r>
      </w:hyperlink>
      <w:r w:rsidRPr="003C7C29">
        <w:rPr>
          <w:rFonts w:ascii="Verdana" w:hAnsi="Verdana" w:cs="Vani"/>
          <w:sz w:val="16"/>
          <w:szCs w:val="16"/>
          <w:lang w:val="es-CO"/>
        </w:rPr>
        <w:t>.</w:t>
      </w:r>
    </w:p>
  </w:footnote>
  <w:footnote w:id="15">
    <w:p w14:paraId="4BEC56B1" w14:textId="1EC2DB4E"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FE6879" w:rsidRPr="003C7C29">
        <w:rPr>
          <w:rFonts w:ascii="Verdana" w:hAnsi="Verdana" w:cs="Vani"/>
          <w:i/>
          <w:iCs/>
          <w:sz w:val="16"/>
          <w:szCs w:val="16"/>
          <w:lang w:val="es-CO"/>
        </w:rPr>
        <w:t>Cfr.</w:t>
      </w:r>
      <w:r w:rsidR="00FE6879" w:rsidRPr="003C7C29">
        <w:rPr>
          <w:rFonts w:ascii="Verdana" w:hAnsi="Verdana" w:cs="Vani"/>
          <w:sz w:val="16"/>
          <w:szCs w:val="16"/>
          <w:lang w:val="es-CO"/>
        </w:rPr>
        <w:t xml:space="preserve"> </w:t>
      </w:r>
      <w:r w:rsidR="00FE6879" w:rsidRPr="003C7C29">
        <w:rPr>
          <w:rFonts w:ascii="Verdana" w:hAnsi="Verdana"/>
          <w:sz w:val="16"/>
          <w:szCs w:val="16"/>
          <w:lang w:val="es-CO"/>
        </w:rPr>
        <w:t xml:space="preserve">Constitución de Brasil, </w:t>
      </w:r>
      <w:r w:rsidR="00FE6879" w:rsidRPr="003C7C29">
        <w:rPr>
          <w:rFonts w:ascii="Verdana" w:hAnsi="Verdana"/>
          <w:i/>
          <w:iCs/>
          <w:sz w:val="16"/>
          <w:szCs w:val="16"/>
          <w:lang w:val="es-CO"/>
        </w:rPr>
        <w:t>supra</w:t>
      </w:r>
      <w:r w:rsidR="00FE6879" w:rsidRPr="003C7C29">
        <w:rPr>
          <w:rFonts w:ascii="Verdana" w:hAnsi="Verdana"/>
          <w:sz w:val="16"/>
          <w:szCs w:val="16"/>
          <w:lang w:val="es-CO"/>
        </w:rPr>
        <w:t>, Artículo 198, párr. 2º</w:t>
      </w:r>
      <w:r w:rsidRPr="003C7C29">
        <w:rPr>
          <w:rFonts w:ascii="Verdana" w:hAnsi="Verdana" w:cs="Vani"/>
          <w:sz w:val="16"/>
          <w:szCs w:val="16"/>
          <w:lang w:val="es-CO"/>
        </w:rPr>
        <w:t>.</w:t>
      </w:r>
    </w:p>
  </w:footnote>
  <w:footnote w:id="16">
    <w:p w14:paraId="44C6B30B"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D57E7B" w:rsidRPr="003C7C29">
        <w:rPr>
          <w:rFonts w:ascii="Verdana" w:hAnsi="Verdana" w:cs="Vani"/>
          <w:i/>
          <w:iCs/>
          <w:sz w:val="16"/>
          <w:szCs w:val="16"/>
          <w:lang w:val="es-CO"/>
        </w:rPr>
        <w:t>Cfr.</w:t>
      </w:r>
      <w:r w:rsidR="00D57E7B" w:rsidRPr="003C7C29">
        <w:rPr>
          <w:rFonts w:ascii="Verdana" w:hAnsi="Verdana" w:cs="Vani"/>
          <w:sz w:val="16"/>
          <w:szCs w:val="16"/>
          <w:lang w:val="es-CO"/>
        </w:rPr>
        <w:t xml:space="preserve"> Enmienda Constitucional N</w:t>
      </w:r>
      <w:r w:rsidR="00D57E7B" w:rsidRPr="003C7C29">
        <w:rPr>
          <w:rFonts w:ascii="Verdana" w:hAnsi="Verdana" w:cs="Vani"/>
          <w:sz w:val="16"/>
          <w:szCs w:val="16"/>
          <w:vertAlign w:val="superscript"/>
          <w:lang w:val="es-CO"/>
        </w:rPr>
        <w:t>o</w:t>
      </w:r>
      <w:r w:rsidR="00D57E7B" w:rsidRPr="003C7C29">
        <w:rPr>
          <w:rFonts w:ascii="Verdana" w:hAnsi="Verdana" w:cs="Vani"/>
          <w:sz w:val="16"/>
          <w:szCs w:val="16"/>
          <w:lang w:val="es-CO"/>
        </w:rPr>
        <w:t xml:space="preserve">. 95, </w:t>
      </w:r>
      <w:r w:rsidR="00D57E7B" w:rsidRPr="003C7C29">
        <w:rPr>
          <w:rFonts w:ascii="Verdana" w:hAnsi="Verdana" w:cs="Vani"/>
          <w:i/>
          <w:iCs/>
          <w:sz w:val="16"/>
          <w:szCs w:val="16"/>
          <w:lang w:val="es-CO"/>
        </w:rPr>
        <w:t>supra</w:t>
      </w:r>
      <w:r w:rsidR="00D57E7B" w:rsidRPr="003C7C29">
        <w:rPr>
          <w:rFonts w:ascii="Verdana" w:hAnsi="Verdana" w:cs="Vani"/>
          <w:sz w:val="16"/>
          <w:szCs w:val="16"/>
          <w:lang w:val="es-CO"/>
        </w:rPr>
        <w:t>, Artículo 1º, Art. 110 del ADCT</w:t>
      </w:r>
      <w:r w:rsidRPr="003C7C29">
        <w:rPr>
          <w:rFonts w:ascii="Verdana" w:hAnsi="Verdana" w:cs="Vani"/>
          <w:sz w:val="16"/>
          <w:szCs w:val="16"/>
          <w:lang w:val="es-CO"/>
        </w:rPr>
        <w:t>.</w:t>
      </w:r>
    </w:p>
  </w:footnote>
  <w:footnote w:id="17">
    <w:p w14:paraId="3FDB79F4" w14:textId="4B666F3A" w:rsidR="00FA2F7D" w:rsidRPr="003C7C29" w:rsidRDefault="00FA2F7D" w:rsidP="00FA2F7D">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1E7C89">
        <w:rPr>
          <w:rFonts w:eastAsia="Calibri"/>
          <w:i/>
          <w:sz w:val="24"/>
          <w:szCs w:val="24"/>
          <w:lang w:val="es-MX" w:eastAsia="en-US"/>
        </w:rPr>
        <w:t xml:space="preserve"> </w:t>
      </w:r>
      <w:r w:rsidRPr="00FA2F7D">
        <w:rPr>
          <w:rFonts w:ascii="Verdana" w:hAnsi="Verdana" w:cs="Vani"/>
          <w:sz w:val="16"/>
          <w:szCs w:val="16"/>
          <w:lang w:val="es-MX"/>
        </w:rPr>
        <w:t>Convención Americana sobre Derechos Humanos, Preámbulo, párr. 4</w:t>
      </w:r>
      <w:r w:rsidRPr="003C7C29">
        <w:rPr>
          <w:rFonts w:ascii="Verdana" w:hAnsi="Verdana" w:cs="Vani"/>
          <w:sz w:val="16"/>
          <w:szCs w:val="16"/>
          <w:lang w:val="es-CO"/>
        </w:rPr>
        <w:t>.</w:t>
      </w:r>
    </w:p>
  </w:footnote>
  <w:footnote w:id="18">
    <w:p w14:paraId="6F3D140D" w14:textId="77777777" w:rsidR="00E52775" w:rsidRPr="003C7C29" w:rsidRDefault="00E52775" w:rsidP="00E52775">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1E7C89">
        <w:rPr>
          <w:rFonts w:eastAsia="Calibri"/>
          <w:i/>
          <w:sz w:val="24"/>
          <w:szCs w:val="24"/>
          <w:lang w:val="es-MX" w:eastAsia="en-US"/>
        </w:rPr>
        <w:t xml:space="preserve"> </w:t>
      </w:r>
      <w:r w:rsidRPr="001E7C89">
        <w:rPr>
          <w:rFonts w:ascii="Verdana" w:hAnsi="Verdana" w:cs="Vani"/>
          <w:i/>
          <w:iCs/>
          <w:sz w:val="16"/>
          <w:szCs w:val="16"/>
          <w:lang w:val="es-MX"/>
        </w:rPr>
        <w:t xml:space="preserve">Caso Acevedo Buendía y otros (“Cesantes y Jubilados de la Contraloría”) Vs. Perú. Excepción Preliminar, Fondo, Reparaciones y Costas. </w:t>
      </w:r>
      <w:r w:rsidRPr="001E7C89">
        <w:rPr>
          <w:rFonts w:ascii="Verdana" w:hAnsi="Verdana" w:cs="Vani"/>
          <w:sz w:val="16"/>
          <w:szCs w:val="16"/>
          <w:lang w:val="es-MX"/>
        </w:rPr>
        <w:t>Sentencia de 1 de julio de 2009 Serie C No. 198, párr. 101</w:t>
      </w:r>
      <w:r w:rsidRPr="003C7C29">
        <w:rPr>
          <w:rFonts w:ascii="Verdana" w:hAnsi="Verdana" w:cs="Vani"/>
          <w:sz w:val="16"/>
          <w:szCs w:val="16"/>
          <w:lang w:val="es-CO"/>
        </w:rPr>
        <w:t>.</w:t>
      </w:r>
    </w:p>
  </w:footnote>
  <w:footnote w:id="19">
    <w:p w14:paraId="4E3FAFB7" w14:textId="77777777" w:rsidR="004776DC" w:rsidRPr="005B3B4D" w:rsidRDefault="004776DC" w:rsidP="005B3B4D">
      <w:pPr>
        <w:pStyle w:val="Textonotapie"/>
        <w:snapToGrid w:val="0"/>
        <w:jc w:val="both"/>
        <w:rPr>
          <w:rFonts w:ascii="Verdana" w:hAnsi="Verdana" w:cs="Vani"/>
          <w:sz w:val="16"/>
          <w:szCs w:val="16"/>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4776DC">
        <w:rPr>
          <w:rFonts w:ascii="Verdana" w:hAnsi="Verdana"/>
          <w:bCs/>
          <w:i/>
          <w:sz w:val="16"/>
          <w:szCs w:val="16"/>
          <w:lang w:val="es-CO"/>
        </w:rPr>
        <w:t xml:space="preserve"> </w:t>
      </w:r>
      <w:r w:rsidRPr="003C7C29">
        <w:rPr>
          <w:rFonts w:ascii="Verdana" w:hAnsi="Verdana"/>
          <w:bCs/>
          <w:i/>
          <w:sz w:val="16"/>
          <w:szCs w:val="16"/>
          <w:lang w:val="es-CO"/>
        </w:rPr>
        <w:t xml:space="preserve">Caso Cuscul Pivaral y otros Vs. Guatemala. Excepción Preliminar, Fondo, Reparaciones y Costas. </w:t>
      </w:r>
      <w:r w:rsidRPr="003C7C29">
        <w:rPr>
          <w:rFonts w:ascii="Verdana" w:hAnsi="Verdana"/>
          <w:bCs/>
          <w:iCs/>
          <w:sz w:val="16"/>
          <w:szCs w:val="16"/>
          <w:lang w:val="es-CO"/>
        </w:rPr>
        <w:t xml:space="preserve">Sentencia </w:t>
      </w:r>
      <w:r w:rsidRPr="005B3B4D">
        <w:rPr>
          <w:rFonts w:ascii="Verdana" w:hAnsi="Verdana"/>
          <w:bCs/>
          <w:iCs/>
          <w:sz w:val="16"/>
          <w:szCs w:val="16"/>
          <w:lang w:val="es-CO"/>
        </w:rPr>
        <w:t>de 23 de agosto de 2018</w:t>
      </w:r>
      <w:r w:rsidRPr="005B3B4D">
        <w:rPr>
          <w:rFonts w:ascii="Verdana" w:hAnsi="Verdana"/>
          <w:bCs/>
          <w:iCs/>
          <w:sz w:val="16"/>
          <w:szCs w:val="16"/>
        </w:rPr>
        <w:t>. Serie C No. 359, párr. 85</w:t>
      </w:r>
      <w:r w:rsidRPr="005B3B4D">
        <w:rPr>
          <w:rFonts w:ascii="Verdana" w:hAnsi="Verdana" w:cs="Vani"/>
          <w:sz w:val="16"/>
          <w:szCs w:val="16"/>
        </w:rPr>
        <w:t>.</w:t>
      </w:r>
    </w:p>
  </w:footnote>
  <w:footnote w:id="20">
    <w:p w14:paraId="310C10A1" w14:textId="15F4B6B2" w:rsidR="005B3B4D" w:rsidRPr="005B3B4D" w:rsidRDefault="005B3B4D" w:rsidP="005B3B4D">
      <w:pPr>
        <w:pStyle w:val="Textonotapie"/>
        <w:snapToGrid w:val="0"/>
        <w:jc w:val="both"/>
        <w:rPr>
          <w:rFonts w:ascii="Verdana" w:hAnsi="Verdana"/>
          <w:sz w:val="16"/>
          <w:szCs w:val="16"/>
        </w:rPr>
      </w:pPr>
      <w:r w:rsidRPr="005B3B4D">
        <w:rPr>
          <w:rStyle w:val="Refdenotaalpie"/>
          <w:rFonts w:ascii="Verdana" w:hAnsi="Verdana"/>
          <w:sz w:val="16"/>
          <w:szCs w:val="16"/>
        </w:rPr>
        <w:footnoteRef/>
      </w:r>
      <w:r w:rsidRPr="005B3B4D">
        <w:rPr>
          <w:rFonts w:ascii="Verdana" w:hAnsi="Verdana"/>
          <w:sz w:val="16"/>
          <w:szCs w:val="16"/>
        </w:rPr>
        <w:t xml:space="preserve"> </w:t>
      </w:r>
      <w:r w:rsidRPr="005B3B4D">
        <w:rPr>
          <w:rFonts w:ascii="Verdana" w:hAnsi="Verdana"/>
          <w:sz w:val="16"/>
          <w:szCs w:val="16"/>
        </w:rPr>
        <w:tab/>
      </w:r>
      <w:r w:rsidRPr="005B3B4D">
        <w:rPr>
          <w:rFonts w:ascii="Verdana" w:hAnsi="Verdana"/>
          <w:i/>
          <w:iCs/>
          <w:sz w:val="16"/>
          <w:szCs w:val="16"/>
        </w:rPr>
        <w:t>Cfr.</w:t>
      </w:r>
      <w:r w:rsidRPr="005B3B4D">
        <w:rPr>
          <w:rFonts w:ascii="Verdana" w:hAnsi="Verdana"/>
          <w:sz w:val="16"/>
          <w:szCs w:val="16"/>
        </w:rPr>
        <w:t xml:space="preserve"> ONU,</w:t>
      </w:r>
      <w:r w:rsidRPr="005B3B4D">
        <w:rPr>
          <w:rFonts w:ascii="Verdana" w:hAnsi="Verdana"/>
          <w:i/>
          <w:sz w:val="16"/>
          <w:szCs w:val="16"/>
        </w:rPr>
        <w:t xml:space="preserve"> </w:t>
      </w:r>
      <w:r w:rsidRPr="005B3B4D">
        <w:rPr>
          <w:rFonts w:ascii="Verdana" w:hAnsi="Verdana"/>
          <w:sz w:val="16"/>
          <w:szCs w:val="16"/>
        </w:rPr>
        <w:t xml:space="preserve">Resolución de la Asamblea General “Distintos criterios y medios posibles dentro del sistema de las Naciones Unidas para mejorar el goce efectivo de los derechos humanos y las libertades fundamentales”, A/RES/32/130, aprobada el 16 de diciembre de 1977, </w:t>
      </w:r>
      <w:r>
        <w:rPr>
          <w:rFonts w:ascii="Verdana" w:hAnsi="Verdana"/>
          <w:sz w:val="16"/>
          <w:szCs w:val="16"/>
        </w:rPr>
        <w:t>1.a) y 1.b).</w:t>
      </w:r>
    </w:p>
  </w:footnote>
  <w:footnote w:id="21">
    <w:p w14:paraId="3C09A5C1" w14:textId="547BCC21" w:rsidR="00FA04F5" w:rsidRPr="001D18D7" w:rsidRDefault="00FA04F5" w:rsidP="001D18D7">
      <w:pPr>
        <w:pStyle w:val="Textonotapie"/>
        <w:jc w:val="both"/>
        <w:rPr>
          <w:rFonts w:ascii="Verdana" w:hAnsi="Verdana"/>
          <w:b/>
          <w:bCs/>
          <w:sz w:val="16"/>
          <w:szCs w:val="16"/>
        </w:rPr>
      </w:pPr>
      <w:r w:rsidRPr="00FA04F5">
        <w:rPr>
          <w:rStyle w:val="Refdenotaalpie"/>
          <w:rFonts w:ascii="Verdana" w:hAnsi="Verdana"/>
          <w:sz w:val="16"/>
          <w:szCs w:val="16"/>
        </w:rPr>
        <w:footnoteRef/>
      </w:r>
      <w:r w:rsidRPr="00FA04F5">
        <w:rPr>
          <w:rFonts w:ascii="Verdana" w:hAnsi="Verdana"/>
          <w:sz w:val="16"/>
          <w:szCs w:val="16"/>
        </w:rPr>
        <w:t xml:space="preserve"> </w:t>
      </w:r>
      <w:r w:rsidRPr="00FA04F5">
        <w:rPr>
          <w:rFonts w:ascii="Verdana" w:hAnsi="Verdana"/>
          <w:sz w:val="16"/>
          <w:szCs w:val="16"/>
        </w:rPr>
        <w:tab/>
        <w:t xml:space="preserve">Es cierto que se ha ido conformando un orden jerárquico internacional superior de principios y valores que forman parte de un fondo ontológico. </w:t>
      </w:r>
      <w:r w:rsidR="00517B39" w:rsidRPr="00FA04F5">
        <w:rPr>
          <w:rFonts w:ascii="Verdana" w:hAnsi="Verdana"/>
          <w:sz w:val="16"/>
          <w:szCs w:val="16"/>
        </w:rPr>
        <w:t>Partiendo</w:t>
      </w:r>
      <w:r w:rsidRPr="00FA04F5">
        <w:rPr>
          <w:rFonts w:ascii="Verdana" w:hAnsi="Verdana"/>
          <w:sz w:val="16"/>
          <w:szCs w:val="16"/>
        </w:rPr>
        <w:t xml:space="preserve"> de dicho fondo ontológico, se deben conducir los razonamientos de interpretación y aplicación de las normas de derecho internacional de los derechos humanos. También es cierto que el </w:t>
      </w:r>
      <w:r w:rsidRPr="00FA04F5">
        <w:rPr>
          <w:rFonts w:ascii="Verdana" w:hAnsi="Verdana"/>
          <w:i/>
          <w:iCs/>
          <w:sz w:val="16"/>
          <w:szCs w:val="16"/>
        </w:rPr>
        <w:t xml:space="preserve">corpus </w:t>
      </w:r>
      <w:proofErr w:type="spellStart"/>
      <w:r w:rsidRPr="00FA04F5">
        <w:rPr>
          <w:rFonts w:ascii="Verdana" w:hAnsi="Verdana"/>
          <w:i/>
          <w:iCs/>
          <w:sz w:val="16"/>
          <w:szCs w:val="16"/>
        </w:rPr>
        <w:t>juris</w:t>
      </w:r>
      <w:proofErr w:type="spellEnd"/>
      <w:r w:rsidRPr="00FA04F5">
        <w:rPr>
          <w:rFonts w:ascii="Verdana" w:hAnsi="Verdana"/>
          <w:sz w:val="16"/>
          <w:szCs w:val="16"/>
        </w:rPr>
        <w:t xml:space="preserve"> internacional se nutre de principios fundacionales, valores ordenadores y, evidentemente, de reglas y normas escritas, las cuales se deben entender desde una perspectiva literal, siempre y cuando su sentido y entendimiento sea suficiente y claro. Sin embargo, cuando eso no es posible o es insuficiente, el intérprete del derecho debe hacer uso de una revisión teleológica, que busque apoyo en el origen, el espíritu de los textos, tratando de desentrañar lo que sus mentores pretendieron transmitir, en el marco de una reflexión sistémica de la norma, en su versión viva, evolutiva pero siempre interconectada con el orden jerárquico normativo al que se pertenece. En ese sentido, la labor hermenéutica del Tribunal hace conexión directa y tiene fundamentación sólida con los principios, propósitos y valores que conforman el mencionado orden jerárquico superior global y regional.</w:t>
      </w:r>
    </w:p>
  </w:footnote>
  <w:footnote w:id="22">
    <w:p w14:paraId="15CF98AC" w14:textId="19F52160" w:rsidR="007A0C5C" w:rsidRPr="001D18D7" w:rsidRDefault="007A0C5C" w:rsidP="005B3B4D">
      <w:pPr>
        <w:pStyle w:val="Textonotapie"/>
        <w:snapToGrid w:val="0"/>
        <w:jc w:val="both"/>
        <w:rPr>
          <w:rStyle w:val="Refdenotaalpie"/>
          <w:rFonts w:ascii="Verdana" w:hAnsi="Verdana"/>
          <w:bCs/>
          <w:iCs/>
          <w:sz w:val="16"/>
          <w:szCs w:val="16"/>
          <w:vertAlign w:val="baseline"/>
          <w:lang w:val="en-US"/>
        </w:rPr>
      </w:pPr>
      <w:r w:rsidRPr="005B3B4D">
        <w:rPr>
          <w:rStyle w:val="Refdenotaalpie"/>
          <w:rFonts w:ascii="Verdana" w:hAnsi="Verdana" w:cs="Vani"/>
          <w:sz w:val="16"/>
          <w:szCs w:val="16"/>
        </w:rPr>
        <w:footnoteRef/>
      </w:r>
      <w:r w:rsidRPr="005B3B4D">
        <w:rPr>
          <w:rFonts w:ascii="Verdana" w:hAnsi="Verdana" w:cs="Vani"/>
          <w:sz w:val="16"/>
          <w:szCs w:val="16"/>
        </w:rPr>
        <w:t xml:space="preserve"> </w:t>
      </w:r>
      <w:r w:rsidRPr="005B3B4D">
        <w:rPr>
          <w:rFonts w:ascii="Verdana" w:hAnsi="Verdana" w:cs="Vani"/>
          <w:sz w:val="16"/>
          <w:szCs w:val="16"/>
        </w:rPr>
        <w:tab/>
      </w:r>
      <w:r w:rsidR="00D57E7B" w:rsidRPr="005B3B4D">
        <w:rPr>
          <w:rFonts w:ascii="Verdana" w:hAnsi="Verdana" w:cs="Vani"/>
          <w:i/>
          <w:iCs/>
          <w:sz w:val="16"/>
          <w:szCs w:val="16"/>
        </w:rPr>
        <w:t>Cfr.</w:t>
      </w:r>
      <w:r w:rsidR="00D57E7B" w:rsidRPr="005B3B4D">
        <w:rPr>
          <w:rFonts w:ascii="Verdana" w:hAnsi="Verdana" w:cs="Vani"/>
          <w:sz w:val="16"/>
          <w:szCs w:val="16"/>
        </w:rPr>
        <w:t xml:space="preserve"> </w:t>
      </w:r>
      <w:r w:rsidR="00D57E7B" w:rsidRPr="005B3B4D">
        <w:rPr>
          <w:rFonts w:ascii="Verdana" w:hAnsi="Verdana" w:cs="Vani"/>
          <w:i/>
          <w:iCs/>
          <w:sz w:val="16"/>
          <w:szCs w:val="16"/>
        </w:rPr>
        <w:t>Caso</w:t>
      </w:r>
      <w:r w:rsidR="0039556E" w:rsidRPr="005B3B4D">
        <w:rPr>
          <w:rFonts w:ascii="Verdana" w:hAnsi="Verdana" w:cs="Vani"/>
          <w:i/>
          <w:iCs/>
          <w:sz w:val="16"/>
          <w:szCs w:val="16"/>
        </w:rPr>
        <w:t xml:space="preserve"> Acevedo Buendía y otros ("Cesantes y Jubilados de la Contraloría") Vs. Perú</w:t>
      </w:r>
      <w:r w:rsidR="00BE5356">
        <w:rPr>
          <w:rFonts w:ascii="Verdana" w:hAnsi="Verdana" w:cs="Vani"/>
          <w:i/>
          <w:iCs/>
          <w:sz w:val="16"/>
          <w:szCs w:val="16"/>
        </w:rPr>
        <w:t>, supra</w:t>
      </w:r>
      <w:r w:rsidR="00B523EF" w:rsidRPr="005B3B4D">
        <w:rPr>
          <w:rFonts w:ascii="Verdana" w:hAnsi="Verdana" w:cs="Vani"/>
          <w:sz w:val="16"/>
          <w:szCs w:val="16"/>
        </w:rPr>
        <w:t xml:space="preserve">, </w:t>
      </w:r>
      <w:proofErr w:type="spellStart"/>
      <w:r w:rsidR="00B523EF" w:rsidRPr="005B3B4D">
        <w:rPr>
          <w:rFonts w:ascii="Verdana" w:hAnsi="Verdana" w:cs="Vani"/>
          <w:sz w:val="16"/>
          <w:szCs w:val="16"/>
        </w:rPr>
        <w:t>párrs</w:t>
      </w:r>
      <w:proofErr w:type="spellEnd"/>
      <w:r w:rsidR="00B523EF" w:rsidRPr="005B3B4D">
        <w:rPr>
          <w:rFonts w:ascii="Verdana" w:hAnsi="Verdana" w:cs="Vani"/>
          <w:sz w:val="16"/>
          <w:szCs w:val="16"/>
        </w:rPr>
        <w:t xml:space="preserve">. </w:t>
      </w:r>
      <w:r w:rsidR="0039556E" w:rsidRPr="005B3B4D">
        <w:rPr>
          <w:rFonts w:ascii="Verdana" w:hAnsi="Verdana" w:cs="Vani"/>
          <w:sz w:val="16"/>
          <w:szCs w:val="16"/>
        </w:rPr>
        <w:t>101 a 103</w:t>
      </w:r>
      <w:r w:rsidR="00B523EF" w:rsidRPr="005B3B4D">
        <w:rPr>
          <w:rFonts w:ascii="Verdana" w:hAnsi="Verdana" w:cs="Vani"/>
          <w:sz w:val="16"/>
          <w:szCs w:val="16"/>
        </w:rPr>
        <w:t>;</w:t>
      </w:r>
      <w:r w:rsidR="0039556E" w:rsidRPr="005B3B4D">
        <w:rPr>
          <w:rFonts w:ascii="Verdana" w:hAnsi="Verdana" w:cs="Vani"/>
          <w:sz w:val="16"/>
          <w:szCs w:val="16"/>
        </w:rPr>
        <w:t xml:space="preserve"> </w:t>
      </w:r>
      <w:r w:rsidR="00DE2EE5" w:rsidRPr="005B3B4D">
        <w:rPr>
          <w:rFonts w:ascii="Verdana" w:hAnsi="Verdana"/>
          <w:bCs/>
          <w:i/>
          <w:sz w:val="16"/>
          <w:szCs w:val="16"/>
        </w:rPr>
        <w:t xml:space="preserve">Caso Poblete Vilches y otros Vs. Chile. Fondo, Reparaciones y Costas. </w:t>
      </w:r>
      <w:r w:rsidR="00DE2EE5" w:rsidRPr="005B3B4D">
        <w:rPr>
          <w:rFonts w:ascii="Verdana" w:hAnsi="Verdana"/>
          <w:bCs/>
          <w:iCs/>
          <w:sz w:val="16"/>
          <w:szCs w:val="16"/>
        </w:rPr>
        <w:t>Sentencia de 8 de marzo de 2018. Serie C No. 349, párr. 104;</w:t>
      </w:r>
      <w:r w:rsidR="00DE2EE5" w:rsidRPr="005B3B4D">
        <w:rPr>
          <w:rFonts w:ascii="Verdana" w:hAnsi="Verdana"/>
          <w:bCs/>
          <w:i/>
          <w:sz w:val="16"/>
          <w:szCs w:val="16"/>
        </w:rPr>
        <w:t xml:space="preserve"> </w:t>
      </w:r>
      <w:r w:rsidR="007E3B74" w:rsidRPr="005B3B4D">
        <w:rPr>
          <w:rFonts w:ascii="Verdana" w:hAnsi="Verdana"/>
          <w:bCs/>
          <w:i/>
          <w:sz w:val="16"/>
          <w:szCs w:val="16"/>
        </w:rPr>
        <w:t xml:space="preserve">Caso </w:t>
      </w:r>
      <w:proofErr w:type="spellStart"/>
      <w:r w:rsidR="007E3B74" w:rsidRPr="005B3B4D">
        <w:rPr>
          <w:rFonts w:ascii="Verdana" w:hAnsi="Verdana"/>
          <w:bCs/>
          <w:i/>
          <w:sz w:val="16"/>
          <w:szCs w:val="16"/>
        </w:rPr>
        <w:t>Cuscul</w:t>
      </w:r>
      <w:proofErr w:type="spellEnd"/>
      <w:r w:rsidR="007E3B74" w:rsidRPr="005B3B4D">
        <w:rPr>
          <w:rFonts w:ascii="Verdana" w:hAnsi="Verdana"/>
          <w:bCs/>
          <w:i/>
          <w:sz w:val="16"/>
          <w:szCs w:val="16"/>
        </w:rPr>
        <w:t xml:space="preserve"> Pivaral y otros Vs. Guatemala</w:t>
      </w:r>
      <w:r w:rsidR="00BE5356">
        <w:rPr>
          <w:rFonts w:ascii="Verdana" w:hAnsi="Verdana"/>
          <w:bCs/>
          <w:i/>
          <w:sz w:val="16"/>
          <w:szCs w:val="16"/>
        </w:rPr>
        <w:t>, supra</w:t>
      </w:r>
      <w:r w:rsidR="007E3B74" w:rsidRPr="005B3B4D">
        <w:rPr>
          <w:rFonts w:ascii="Verdana" w:hAnsi="Verdana"/>
          <w:bCs/>
          <w:iCs/>
          <w:sz w:val="16"/>
          <w:szCs w:val="16"/>
        </w:rPr>
        <w:t>, pá</w:t>
      </w:r>
      <w:r w:rsidR="00E63DD7" w:rsidRPr="005B3B4D">
        <w:rPr>
          <w:rFonts w:ascii="Verdana" w:hAnsi="Verdana"/>
          <w:bCs/>
          <w:iCs/>
          <w:sz w:val="16"/>
          <w:szCs w:val="16"/>
        </w:rPr>
        <w:t xml:space="preserve">rr. 98; </w:t>
      </w:r>
      <w:r w:rsidR="00E63DD7" w:rsidRPr="005B3B4D">
        <w:rPr>
          <w:rFonts w:ascii="Verdana" w:hAnsi="Verdana"/>
          <w:bCs/>
          <w:i/>
          <w:iCs/>
          <w:sz w:val="16"/>
          <w:szCs w:val="16"/>
        </w:rPr>
        <w:t>Caso</w:t>
      </w:r>
      <w:r w:rsidR="00E63DD7" w:rsidRPr="003C7C29">
        <w:rPr>
          <w:rFonts w:ascii="Verdana" w:hAnsi="Verdana"/>
          <w:bCs/>
          <w:i/>
          <w:iCs/>
          <w:sz w:val="16"/>
          <w:szCs w:val="16"/>
          <w:lang w:val="es-CO"/>
        </w:rPr>
        <w:t xml:space="preserve"> Muelle Flores Vs. Perú. Excepciones Preliminares, Fondo, Reparaciones y Costas.</w:t>
      </w:r>
      <w:r w:rsidR="00E63DD7" w:rsidRPr="003C7C29">
        <w:rPr>
          <w:rFonts w:ascii="Verdana" w:hAnsi="Verdana"/>
          <w:bCs/>
          <w:iCs/>
          <w:sz w:val="16"/>
          <w:szCs w:val="16"/>
          <w:lang w:val="es-CO"/>
        </w:rPr>
        <w:t xml:space="preserve"> Sentencia de 6 de marzo de 2019. Serie C No. 375, párr. 190; </w:t>
      </w:r>
      <w:r w:rsidR="00E8760C" w:rsidRPr="003C7C29">
        <w:rPr>
          <w:rFonts w:ascii="Verdana" w:hAnsi="Verdana"/>
          <w:bCs/>
          <w:i/>
          <w:iCs/>
          <w:sz w:val="16"/>
          <w:szCs w:val="16"/>
          <w:lang w:val="es-CO"/>
        </w:rPr>
        <w:t>Caso Asociación Nacional de Cesantes y Jubilados de la Superintendencia Nacional de Administración Tributaria (ANCEJUB-SUNAT) Vs. Perú. Excepciones Preliminares, Fondo, Reparaciones y Costas.</w:t>
      </w:r>
      <w:r w:rsidR="00E8760C" w:rsidRPr="003C7C29">
        <w:rPr>
          <w:rFonts w:ascii="Verdana" w:hAnsi="Verdana"/>
          <w:bCs/>
          <w:iCs/>
          <w:sz w:val="16"/>
          <w:szCs w:val="16"/>
          <w:lang w:val="es-CO"/>
        </w:rPr>
        <w:t xml:space="preserve"> Sentencia de 21 de noviembre de 2019. Serie C No. 394, párr</w:t>
      </w:r>
      <w:r w:rsidR="00362F86" w:rsidRPr="003C7C29">
        <w:rPr>
          <w:rFonts w:ascii="Verdana" w:hAnsi="Verdana"/>
          <w:bCs/>
          <w:iCs/>
          <w:sz w:val="16"/>
          <w:szCs w:val="16"/>
          <w:lang w:val="es-CO"/>
        </w:rPr>
        <w:t>. 173</w:t>
      </w:r>
      <w:r w:rsidR="00E8760C" w:rsidRPr="003C7C29">
        <w:rPr>
          <w:rFonts w:ascii="Verdana" w:hAnsi="Verdana"/>
          <w:bCs/>
          <w:iCs/>
          <w:sz w:val="16"/>
          <w:szCs w:val="16"/>
          <w:lang w:val="es-CO"/>
        </w:rPr>
        <w:t xml:space="preserve">; </w:t>
      </w:r>
      <w:r w:rsidR="00E8760C" w:rsidRPr="003C7C29">
        <w:rPr>
          <w:rFonts w:ascii="Verdana" w:hAnsi="Verdana"/>
          <w:bCs/>
          <w:i/>
          <w:iCs/>
          <w:sz w:val="16"/>
          <w:szCs w:val="16"/>
          <w:lang w:val="es-CO"/>
        </w:rPr>
        <w:t>Caso Hernández Vs. Argentina. Excepción Preliminar, Fondo, Reparaciones y Costas.</w:t>
      </w:r>
      <w:r w:rsidR="00E8760C" w:rsidRPr="003C7C29">
        <w:rPr>
          <w:rFonts w:ascii="Verdana" w:hAnsi="Verdana"/>
          <w:bCs/>
          <w:iCs/>
          <w:sz w:val="16"/>
          <w:szCs w:val="16"/>
          <w:lang w:val="es-CO"/>
        </w:rPr>
        <w:t xml:space="preserve"> Sentencia de 22 de noviembre de 2019. Serie C No. 395, párr. </w:t>
      </w:r>
      <w:r w:rsidR="00362F86" w:rsidRPr="003C7C29">
        <w:rPr>
          <w:rFonts w:ascii="Verdana" w:hAnsi="Verdana"/>
          <w:bCs/>
          <w:iCs/>
          <w:sz w:val="16"/>
          <w:szCs w:val="16"/>
          <w:lang w:val="es-CO"/>
        </w:rPr>
        <w:t>81</w:t>
      </w:r>
      <w:r w:rsidR="00E8760C" w:rsidRPr="003C7C29">
        <w:rPr>
          <w:rFonts w:ascii="Verdana" w:hAnsi="Verdana"/>
          <w:bCs/>
          <w:iCs/>
          <w:sz w:val="16"/>
          <w:szCs w:val="16"/>
          <w:lang w:val="es-CO"/>
        </w:rPr>
        <w:t xml:space="preserve">; </w:t>
      </w:r>
      <w:r w:rsidR="00E8760C" w:rsidRPr="003C7C29">
        <w:rPr>
          <w:rFonts w:ascii="Verdana" w:hAnsi="Verdana"/>
          <w:bCs/>
          <w:i/>
          <w:iCs/>
          <w:sz w:val="16"/>
          <w:szCs w:val="16"/>
          <w:lang w:val="es-CO"/>
        </w:rPr>
        <w:t>Caso Comunidades Indígenas Miembros de la Asociación Lhaka Honhat (Nuestra Tierra) Vs. Argentina. Fondo, Reparaciones y Costas.</w:t>
      </w:r>
      <w:r w:rsidR="00E8760C" w:rsidRPr="003C7C29">
        <w:rPr>
          <w:rFonts w:ascii="Verdana" w:hAnsi="Verdana"/>
          <w:bCs/>
          <w:iCs/>
          <w:sz w:val="16"/>
          <w:szCs w:val="16"/>
          <w:lang w:val="es-CO"/>
        </w:rPr>
        <w:t xml:space="preserve"> Sentencia de 6 de febrero de 2020. Serie C No. 400, párr</w:t>
      </w:r>
      <w:r w:rsidR="00362F86" w:rsidRPr="003C7C29">
        <w:rPr>
          <w:rFonts w:ascii="Verdana" w:hAnsi="Verdana"/>
          <w:bCs/>
          <w:iCs/>
          <w:sz w:val="16"/>
          <w:szCs w:val="16"/>
          <w:lang w:val="es-CO"/>
        </w:rPr>
        <w:t>s</w:t>
      </w:r>
      <w:r w:rsidR="00E8760C" w:rsidRPr="003C7C29">
        <w:rPr>
          <w:rFonts w:ascii="Verdana" w:hAnsi="Verdana"/>
          <w:bCs/>
          <w:iCs/>
          <w:sz w:val="16"/>
          <w:szCs w:val="16"/>
          <w:lang w:val="es-CO"/>
        </w:rPr>
        <w:t xml:space="preserve">. </w:t>
      </w:r>
      <w:r w:rsidR="00362F86" w:rsidRPr="003C7C29">
        <w:rPr>
          <w:rFonts w:ascii="Verdana" w:hAnsi="Verdana"/>
          <w:bCs/>
          <w:iCs/>
          <w:sz w:val="16"/>
          <w:szCs w:val="16"/>
          <w:lang w:val="es-CO"/>
        </w:rPr>
        <w:t>229, 272 y 281</w:t>
      </w:r>
      <w:r w:rsidR="00E8760C" w:rsidRPr="003C7C29">
        <w:rPr>
          <w:rFonts w:ascii="Verdana" w:hAnsi="Verdana"/>
          <w:bCs/>
          <w:iCs/>
          <w:sz w:val="16"/>
          <w:szCs w:val="16"/>
          <w:lang w:val="es-CO"/>
        </w:rPr>
        <w:t>,</w:t>
      </w:r>
      <w:r w:rsidR="005B7522">
        <w:rPr>
          <w:rFonts w:ascii="Verdana" w:hAnsi="Verdana"/>
          <w:bCs/>
          <w:iCs/>
          <w:sz w:val="16"/>
          <w:szCs w:val="16"/>
          <w:lang w:val="es-CO"/>
        </w:rPr>
        <w:t xml:space="preserve"> y </w:t>
      </w:r>
      <w:r w:rsidR="005B7522" w:rsidRPr="001D18D7">
        <w:rPr>
          <w:rFonts w:ascii="Verdana" w:hAnsi="Verdana"/>
          <w:bCs/>
          <w:i/>
          <w:sz w:val="16"/>
          <w:szCs w:val="16"/>
          <w:lang w:val="en-US"/>
        </w:rPr>
        <w:t xml:space="preserve">Caso </w:t>
      </w:r>
      <w:proofErr w:type="spellStart"/>
      <w:r w:rsidR="005B7522" w:rsidRPr="001D18D7">
        <w:rPr>
          <w:rFonts w:ascii="Verdana" w:hAnsi="Verdana"/>
          <w:bCs/>
          <w:i/>
          <w:sz w:val="16"/>
          <w:szCs w:val="16"/>
          <w:lang w:val="en-US"/>
        </w:rPr>
        <w:t>Spoltore</w:t>
      </w:r>
      <w:proofErr w:type="spellEnd"/>
      <w:r w:rsidR="005B7522" w:rsidRPr="001D18D7">
        <w:rPr>
          <w:rFonts w:ascii="Verdana" w:hAnsi="Verdana"/>
          <w:bCs/>
          <w:i/>
          <w:sz w:val="16"/>
          <w:szCs w:val="16"/>
          <w:lang w:val="en-US"/>
        </w:rPr>
        <w:t xml:space="preserve"> Vs. Argentina. </w:t>
      </w:r>
      <w:proofErr w:type="spellStart"/>
      <w:r w:rsidR="005B7522" w:rsidRPr="001D18D7">
        <w:rPr>
          <w:rFonts w:ascii="Verdana" w:hAnsi="Verdana"/>
          <w:bCs/>
          <w:i/>
          <w:sz w:val="16"/>
          <w:szCs w:val="16"/>
          <w:lang w:val="en-US"/>
        </w:rPr>
        <w:t>Excepción</w:t>
      </w:r>
      <w:proofErr w:type="spellEnd"/>
      <w:r w:rsidR="005B7522" w:rsidRPr="001D18D7">
        <w:rPr>
          <w:rFonts w:ascii="Verdana" w:hAnsi="Verdana"/>
          <w:bCs/>
          <w:i/>
          <w:sz w:val="16"/>
          <w:szCs w:val="16"/>
          <w:lang w:val="en-US"/>
        </w:rPr>
        <w:t xml:space="preserve"> </w:t>
      </w:r>
      <w:proofErr w:type="spellStart"/>
      <w:r w:rsidR="005B7522" w:rsidRPr="001D18D7">
        <w:rPr>
          <w:rFonts w:ascii="Verdana" w:hAnsi="Verdana"/>
          <w:bCs/>
          <w:i/>
          <w:sz w:val="16"/>
          <w:szCs w:val="16"/>
          <w:lang w:val="en-US"/>
        </w:rPr>
        <w:t>Preliminar</w:t>
      </w:r>
      <w:proofErr w:type="spellEnd"/>
      <w:r w:rsidR="005B7522" w:rsidRPr="001D18D7">
        <w:rPr>
          <w:rFonts w:ascii="Verdana" w:hAnsi="Verdana"/>
          <w:bCs/>
          <w:i/>
          <w:sz w:val="16"/>
          <w:szCs w:val="16"/>
          <w:lang w:val="en-US"/>
        </w:rPr>
        <w:t xml:space="preserve">, </w:t>
      </w:r>
      <w:proofErr w:type="spellStart"/>
      <w:r w:rsidR="005B7522" w:rsidRPr="001D18D7">
        <w:rPr>
          <w:rFonts w:ascii="Verdana" w:hAnsi="Verdana"/>
          <w:bCs/>
          <w:i/>
          <w:sz w:val="16"/>
          <w:szCs w:val="16"/>
          <w:lang w:val="en-US"/>
        </w:rPr>
        <w:t>Fondo</w:t>
      </w:r>
      <w:proofErr w:type="spellEnd"/>
      <w:r w:rsidR="005B7522" w:rsidRPr="001D18D7">
        <w:rPr>
          <w:rFonts w:ascii="Verdana" w:hAnsi="Verdana"/>
          <w:bCs/>
          <w:i/>
          <w:sz w:val="16"/>
          <w:szCs w:val="16"/>
          <w:lang w:val="en-US"/>
        </w:rPr>
        <w:t xml:space="preserve">, </w:t>
      </w:r>
      <w:proofErr w:type="spellStart"/>
      <w:r w:rsidR="005B7522" w:rsidRPr="001D18D7">
        <w:rPr>
          <w:rFonts w:ascii="Verdana" w:hAnsi="Verdana"/>
          <w:bCs/>
          <w:i/>
          <w:sz w:val="16"/>
          <w:szCs w:val="16"/>
          <w:lang w:val="en-US"/>
        </w:rPr>
        <w:t>Reparaciones</w:t>
      </w:r>
      <w:proofErr w:type="spellEnd"/>
      <w:r w:rsidR="005B7522" w:rsidRPr="001D18D7">
        <w:rPr>
          <w:rFonts w:ascii="Verdana" w:hAnsi="Verdana"/>
          <w:bCs/>
          <w:i/>
          <w:sz w:val="16"/>
          <w:szCs w:val="16"/>
          <w:lang w:val="en-US"/>
        </w:rPr>
        <w:t xml:space="preserve"> y Costas.</w:t>
      </w:r>
      <w:r w:rsidR="005B7522" w:rsidRPr="005B7522">
        <w:rPr>
          <w:rFonts w:ascii="Verdana" w:hAnsi="Verdana"/>
          <w:bCs/>
          <w:iCs/>
          <w:sz w:val="16"/>
          <w:szCs w:val="16"/>
          <w:lang w:val="en-US"/>
        </w:rPr>
        <w:t xml:space="preserve"> </w:t>
      </w:r>
      <w:proofErr w:type="spellStart"/>
      <w:r w:rsidR="005B7522" w:rsidRPr="005B7522">
        <w:rPr>
          <w:rFonts w:ascii="Verdana" w:hAnsi="Verdana"/>
          <w:bCs/>
          <w:iCs/>
          <w:sz w:val="16"/>
          <w:szCs w:val="16"/>
          <w:lang w:val="en-US"/>
        </w:rPr>
        <w:t>Sentencia</w:t>
      </w:r>
      <w:proofErr w:type="spellEnd"/>
      <w:r w:rsidR="005B7522" w:rsidRPr="005B7522">
        <w:rPr>
          <w:rFonts w:ascii="Verdana" w:hAnsi="Verdana"/>
          <w:bCs/>
          <w:iCs/>
          <w:sz w:val="16"/>
          <w:szCs w:val="16"/>
          <w:lang w:val="en-US"/>
        </w:rPr>
        <w:t xml:space="preserve"> de 9 de </w:t>
      </w:r>
      <w:proofErr w:type="spellStart"/>
      <w:r w:rsidR="005B7522" w:rsidRPr="005B7522">
        <w:rPr>
          <w:rFonts w:ascii="Verdana" w:hAnsi="Verdana"/>
          <w:bCs/>
          <w:iCs/>
          <w:sz w:val="16"/>
          <w:szCs w:val="16"/>
          <w:lang w:val="en-US"/>
        </w:rPr>
        <w:t>junio</w:t>
      </w:r>
      <w:proofErr w:type="spellEnd"/>
      <w:r w:rsidR="005B7522" w:rsidRPr="005B7522">
        <w:rPr>
          <w:rFonts w:ascii="Verdana" w:hAnsi="Verdana"/>
          <w:bCs/>
          <w:iCs/>
          <w:sz w:val="16"/>
          <w:szCs w:val="16"/>
          <w:lang w:val="en-US"/>
        </w:rPr>
        <w:t xml:space="preserve"> de 2020. Serie C No. 404</w:t>
      </w:r>
      <w:r w:rsidR="005B7522">
        <w:rPr>
          <w:rFonts w:ascii="Verdana" w:hAnsi="Verdana"/>
          <w:bCs/>
          <w:iCs/>
          <w:sz w:val="16"/>
          <w:szCs w:val="16"/>
          <w:lang w:val="en-US"/>
        </w:rPr>
        <w:t xml:space="preserve">, </w:t>
      </w:r>
      <w:proofErr w:type="spellStart"/>
      <w:r w:rsidR="005B7522">
        <w:rPr>
          <w:rFonts w:ascii="Verdana" w:hAnsi="Verdana"/>
          <w:bCs/>
          <w:iCs/>
          <w:sz w:val="16"/>
          <w:szCs w:val="16"/>
          <w:lang w:val="en-US"/>
        </w:rPr>
        <w:t>párr</w:t>
      </w:r>
      <w:r w:rsidR="00BE09DD">
        <w:rPr>
          <w:rFonts w:ascii="Verdana" w:hAnsi="Verdana"/>
          <w:bCs/>
          <w:iCs/>
          <w:sz w:val="16"/>
          <w:szCs w:val="16"/>
          <w:lang w:val="en-US"/>
        </w:rPr>
        <w:t>s</w:t>
      </w:r>
      <w:proofErr w:type="spellEnd"/>
      <w:r w:rsidR="005B7522">
        <w:rPr>
          <w:rFonts w:ascii="Verdana" w:hAnsi="Verdana"/>
          <w:bCs/>
          <w:iCs/>
          <w:sz w:val="16"/>
          <w:szCs w:val="16"/>
          <w:lang w:val="en-US"/>
        </w:rPr>
        <w:t xml:space="preserve">. </w:t>
      </w:r>
      <w:r w:rsidR="00BE09DD">
        <w:rPr>
          <w:rFonts w:ascii="Verdana" w:hAnsi="Verdana"/>
          <w:bCs/>
          <w:iCs/>
          <w:sz w:val="16"/>
          <w:szCs w:val="16"/>
          <w:lang w:val="en-US"/>
        </w:rPr>
        <w:t>97 y 98</w:t>
      </w:r>
      <w:r w:rsidR="00E8760C" w:rsidRPr="003C7C29">
        <w:rPr>
          <w:rFonts w:ascii="Verdana" w:hAnsi="Verdana"/>
          <w:bCs/>
          <w:iCs/>
          <w:sz w:val="16"/>
          <w:szCs w:val="16"/>
          <w:lang w:val="es-CO"/>
        </w:rPr>
        <w:t>.</w:t>
      </w:r>
      <w:r w:rsidR="00DE2EE5" w:rsidRPr="003C7C29">
        <w:rPr>
          <w:rStyle w:val="Refdenotaalpie"/>
          <w:rFonts w:ascii="Verdana" w:hAnsi="Verdana" w:cs="Vani"/>
          <w:sz w:val="16"/>
          <w:szCs w:val="16"/>
          <w:lang w:val="es-CO"/>
        </w:rPr>
        <w:t xml:space="preserve"> </w:t>
      </w:r>
      <w:r w:rsidR="00B523EF" w:rsidRPr="003C7C29">
        <w:rPr>
          <w:rStyle w:val="Refdenotaalpie"/>
          <w:rFonts w:ascii="Verdana" w:hAnsi="Verdana"/>
          <w:sz w:val="16"/>
          <w:szCs w:val="16"/>
          <w:lang w:val="es-CO"/>
        </w:rPr>
        <w:t xml:space="preserve"> </w:t>
      </w:r>
    </w:p>
  </w:footnote>
  <w:footnote w:id="23">
    <w:p w14:paraId="5820B2A2" w14:textId="77777777"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D53339" w:rsidRPr="003C7C29">
        <w:rPr>
          <w:rFonts w:ascii="Verdana" w:hAnsi="Verdana" w:cs="Vani"/>
          <w:i/>
          <w:iCs/>
          <w:sz w:val="16"/>
          <w:szCs w:val="16"/>
          <w:lang w:val="es-CO"/>
        </w:rPr>
        <w:t>Cfr</w:t>
      </w:r>
      <w:r w:rsidR="00D53339" w:rsidRPr="003C7C29">
        <w:rPr>
          <w:rFonts w:ascii="Verdana" w:hAnsi="Verdana" w:cs="Vani"/>
          <w:sz w:val="16"/>
          <w:szCs w:val="16"/>
          <w:lang w:val="es-CO"/>
        </w:rPr>
        <w:t>. Convención Americana sobre Derechos Humanos, Artículo 26</w:t>
      </w:r>
      <w:r w:rsidRPr="003C7C29">
        <w:rPr>
          <w:rFonts w:ascii="Verdana" w:hAnsi="Verdana" w:cs="Vani"/>
          <w:sz w:val="16"/>
          <w:szCs w:val="16"/>
          <w:lang w:val="es-CO"/>
        </w:rPr>
        <w:t>.</w:t>
      </w:r>
      <w:r w:rsidR="00D53339" w:rsidRPr="003C7C29">
        <w:rPr>
          <w:rFonts w:ascii="Verdana" w:hAnsi="Verdana" w:cs="Vani"/>
          <w:sz w:val="16"/>
          <w:szCs w:val="16"/>
          <w:lang w:val="es-CO"/>
        </w:rPr>
        <w:t xml:space="preserve"> </w:t>
      </w:r>
    </w:p>
  </w:footnote>
  <w:footnote w:id="24">
    <w:p w14:paraId="7971DADF" w14:textId="7F49BFEA" w:rsidR="007A0C5C" w:rsidRPr="003C7C29" w:rsidRDefault="007A0C5C" w:rsidP="00D53339">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003151DC" w:rsidRPr="003C7C29">
        <w:rPr>
          <w:rFonts w:ascii="Verdana" w:hAnsi="Verdana" w:cs="Vani"/>
          <w:i/>
          <w:iCs/>
          <w:sz w:val="16"/>
          <w:szCs w:val="16"/>
          <w:lang w:val="es-CO"/>
        </w:rPr>
        <w:t>Cfr</w:t>
      </w:r>
      <w:r w:rsidR="003151DC" w:rsidRPr="003C7C29">
        <w:rPr>
          <w:rFonts w:ascii="Verdana" w:hAnsi="Verdana" w:cs="Vani"/>
          <w:sz w:val="16"/>
          <w:szCs w:val="16"/>
          <w:lang w:val="es-CO"/>
        </w:rPr>
        <w:t xml:space="preserve">. </w:t>
      </w:r>
      <w:r w:rsidR="003C7C29" w:rsidRPr="003C7C29">
        <w:rPr>
          <w:rFonts w:ascii="Verdana" w:hAnsi="Verdana" w:cs="Vani"/>
          <w:sz w:val="16"/>
          <w:szCs w:val="16"/>
          <w:lang w:val="es-CO"/>
        </w:rPr>
        <w:t>“</w:t>
      </w:r>
      <w:r w:rsidR="001A16D3" w:rsidRPr="003C7C29">
        <w:rPr>
          <w:rFonts w:ascii="Verdana" w:hAnsi="Verdana" w:cs="Vani"/>
          <w:sz w:val="16"/>
          <w:szCs w:val="16"/>
          <w:lang w:val="es-CO"/>
        </w:rPr>
        <w:t>Protocolo de San Salvador</w:t>
      </w:r>
      <w:r w:rsidR="003C7C29" w:rsidRPr="003C7C29">
        <w:rPr>
          <w:rFonts w:ascii="Verdana" w:hAnsi="Verdana" w:cs="Vani"/>
          <w:sz w:val="16"/>
          <w:szCs w:val="16"/>
          <w:lang w:val="es-CO"/>
        </w:rPr>
        <w:t>”</w:t>
      </w:r>
      <w:r w:rsidR="001A16D3" w:rsidRPr="003C7C29">
        <w:rPr>
          <w:rFonts w:ascii="Verdana" w:hAnsi="Verdana" w:cs="Vani"/>
          <w:sz w:val="16"/>
          <w:szCs w:val="16"/>
          <w:lang w:val="es-CO"/>
        </w:rPr>
        <w:t xml:space="preserve">: Protocolo Adicional a la Convención Americana en </w:t>
      </w:r>
      <w:r w:rsidR="00CB3134" w:rsidRPr="003C7C29">
        <w:rPr>
          <w:rFonts w:ascii="Verdana" w:hAnsi="Verdana" w:cs="Vani"/>
          <w:sz w:val="16"/>
          <w:szCs w:val="16"/>
          <w:lang w:val="es-CO"/>
        </w:rPr>
        <w:t>m</w:t>
      </w:r>
      <w:r w:rsidR="001A16D3" w:rsidRPr="003C7C29">
        <w:rPr>
          <w:rFonts w:ascii="Verdana" w:hAnsi="Verdana" w:cs="Vani"/>
          <w:sz w:val="16"/>
          <w:szCs w:val="16"/>
          <w:lang w:val="es-CO"/>
        </w:rPr>
        <w:t>ateria de Derechos Económicos, Sociales y Culturales, Artículo 1.</w:t>
      </w:r>
    </w:p>
  </w:footnote>
  <w:footnote w:id="25">
    <w:p w14:paraId="1FE69E0A" w14:textId="77777777" w:rsidR="00E96053" w:rsidRPr="003C7C29" w:rsidRDefault="00E96053" w:rsidP="00E96053">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3C7C29">
        <w:rPr>
          <w:rFonts w:ascii="Verdana" w:hAnsi="Verdana" w:cs="Vani"/>
          <w:sz w:val="16"/>
          <w:szCs w:val="16"/>
          <w:lang w:val="es-CO"/>
        </w:rPr>
        <w:t>. Pacto Internacional de Derechos Económicos Sociales y Culturales, adoptado el 16 de diciembre de 1966, Artículo 2.1.</w:t>
      </w:r>
    </w:p>
  </w:footnote>
  <w:footnote w:id="26">
    <w:p w14:paraId="6D49B761" w14:textId="77777777" w:rsidR="007A0C5C" w:rsidRPr="003C7C29" w:rsidRDefault="007A0C5C" w:rsidP="00D53339">
      <w:pPr>
        <w:pStyle w:val="Textonotapie"/>
        <w:snapToGrid w:val="0"/>
        <w:jc w:val="both"/>
        <w:rPr>
          <w:rFonts w:ascii="Verdana" w:hAnsi="Verdana"/>
          <w:sz w:val="16"/>
          <w:szCs w:val="16"/>
          <w:highlight w:val="yellow"/>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00AE56A0" w:rsidRPr="003C7C29">
        <w:rPr>
          <w:rFonts w:ascii="Verdana" w:hAnsi="Verdana" w:cs="Vani"/>
          <w:i/>
          <w:iCs/>
          <w:sz w:val="16"/>
          <w:szCs w:val="16"/>
          <w:lang w:val="es-CO"/>
        </w:rPr>
        <w:t>Cfr</w:t>
      </w:r>
      <w:r w:rsidR="00AE56A0" w:rsidRPr="003C7C29">
        <w:rPr>
          <w:rFonts w:ascii="Verdana" w:hAnsi="Verdana" w:cs="Vani"/>
          <w:sz w:val="16"/>
          <w:szCs w:val="16"/>
          <w:lang w:val="es-CO"/>
        </w:rPr>
        <w:t xml:space="preserve">. </w:t>
      </w:r>
      <w:r w:rsidRPr="003C7C29">
        <w:rPr>
          <w:rFonts w:ascii="Verdana" w:hAnsi="Verdana"/>
          <w:sz w:val="16"/>
          <w:szCs w:val="16"/>
          <w:lang w:val="es-CO"/>
        </w:rPr>
        <w:t xml:space="preserve">Naciones Unidas, Comité de Derechos Económicos, Sociales y Culturales, Observación General No. 3, </w:t>
      </w:r>
      <w:r w:rsidR="00AE56A0" w:rsidRPr="003C7C29">
        <w:rPr>
          <w:rFonts w:ascii="Verdana" w:hAnsi="Verdana"/>
          <w:sz w:val="16"/>
          <w:szCs w:val="16"/>
          <w:lang w:val="es-CO"/>
        </w:rPr>
        <w:t>párr. 9</w:t>
      </w:r>
      <w:r w:rsidRPr="003C7C29">
        <w:rPr>
          <w:rFonts w:ascii="Verdana" w:hAnsi="Verdana"/>
          <w:sz w:val="16"/>
          <w:szCs w:val="16"/>
          <w:lang w:val="es-CO"/>
        </w:rPr>
        <w:t>.</w:t>
      </w:r>
    </w:p>
  </w:footnote>
  <w:footnote w:id="27">
    <w:p w14:paraId="400CE499" w14:textId="77777777" w:rsidR="004E5334" w:rsidRPr="003C7C29" w:rsidRDefault="004E5334" w:rsidP="004E5334">
      <w:pPr>
        <w:pStyle w:val="Textonotapie"/>
        <w:snapToGrid w:val="0"/>
        <w:jc w:val="both"/>
        <w:rPr>
          <w:rFonts w:ascii="Verdana" w:hAnsi="Verdana" w:cs="Vani"/>
          <w:sz w:val="16"/>
          <w:szCs w:val="16"/>
          <w:lang w:val="es-CO"/>
        </w:rPr>
      </w:pPr>
      <w:r w:rsidRPr="003C7C29">
        <w:rPr>
          <w:rStyle w:val="Refdenotaalpie"/>
          <w:rFonts w:ascii="Verdana" w:hAnsi="Verdana" w:cs="Vani"/>
          <w:sz w:val="16"/>
          <w:szCs w:val="16"/>
          <w:lang w:val="es-CO"/>
        </w:rPr>
        <w:footnoteRef/>
      </w:r>
      <w:r w:rsidRPr="003C7C29">
        <w:rPr>
          <w:rFonts w:ascii="Verdana" w:hAnsi="Verdana" w:cs="Vani"/>
          <w:sz w:val="16"/>
          <w:szCs w:val="16"/>
          <w:lang w:val="es-CO"/>
        </w:rPr>
        <w:t xml:space="preserve"> </w:t>
      </w:r>
      <w:r w:rsidRPr="003C7C29">
        <w:rPr>
          <w:rFonts w:ascii="Verdana" w:hAnsi="Verdana" w:cs="Vani"/>
          <w:sz w:val="16"/>
          <w:szCs w:val="16"/>
          <w:lang w:val="es-CO"/>
        </w:rPr>
        <w:tab/>
      </w:r>
      <w:r w:rsidRPr="003C7C29">
        <w:rPr>
          <w:rFonts w:ascii="Verdana" w:hAnsi="Verdana" w:cs="Vani"/>
          <w:i/>
          <w:iCs/>
          <w:sz w:val="16"/>
          <w:szCs w:val="16"/>
          <w:lang w:val="es-CO"/>
        </w:rPr>
        <w:t>Cfr</w:t>
      </w:r>
      <w:r w:rsidRPr="003C7C29">
        <w:rPr>
          <w:rFonts w:ascii="Verdana" w:hAnsi="Verdana" w:cs="Vani"/>
          <w:sz w:val="16"/>
          <w:szCs w:val="16"/>
          <w:lang w:val="es-CO"/>
        </w:rPr>
        <w:t>. Comité DESC, Observación General No. 23</w:t>
      </w:r>
      <w:r w:rsidRPr="003C7C29">
        <w:rPr>
          <w:rFonts w:ascii="Verdana" w:hAnsi="Verdana" w:cs="Vani"/>
          <w:i/>
          <w:sz w:val="16"/>
          <w:szCs w:val="16"/>
          <w:lang w:val="es-CO"/>
        </w:rPr>
        <w:t xml:space="preserve"> sobre el derecho a condiciones de trabajo equitativas y satisfactorias (artículo 7 del Pacto Internacional de Derechos Económicos, Sociales y Culturales</w:t>
      </w:r>
      <w:r w:rsidRPr="003C7C29">
        <w:rPr>
          <w:rFonts w:ascii="Verdana" w:hAnsi="Verdana" w:cs="Vani"/>
          <w:sz w:val="16"/>
          <w:szCs w:val="16"/>
          <w:lang w:val="es-CO"/>
        </w:rPr>
        <w:t>), E/C.12/GC/23, 26 de abril del 2016, párr. 52.</w:t>
      </w:r>
    </w:p>
  </w:footnote>
  <w:footnote w:id="28">
    <w:p w14:paraId="49AA8BD6" w14:textId="3E352D36" w:rsidR="007A0C5C" w:rsidRPr="003C7C29" w:rsidRDefault="007A0C5C" w:rsidP="00D53339">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t xml:space="preserve">Párrafo 172 de la Sentencia; </w:t>
      </w:r>
      <w:r w:rsidRPr="003C7C29">
        <w:rPr>
          <w:rFonts w:ascii="Verdana" w:hAnsi="Verdana"/>
          <w:i/>
          <w:iCs/>
          <w:sz w:val="16"/>
          <w:szCs w:val="16"/>
          <w:lang w:val="es-CO"/>
        </w:rPr>
        <w:t>c</w:t>
      </w:r>
      <w:r w:rsidRPr="003C7C29">
        <w:rPr>
          <w:rFonts w:ascii="Verdana" w:hAnsi="Verdana"/>
          <w:i/>
          <w:sz w:val="16"/>
          <w:szCs w:val="16"/>
          <w:lang w:val="es-CO"/>
        </w:rPr>
        <w:t xml:space="preserve">fr. </w:t>
      </w:r>
      <w:r w:rsidRPr="003C7C29">
        <w:rPr>
          <w:rFonts w:ascii="Verdana" w:hAnsi="Verdana"/>
          <w:bCs/>
          <w:i/>
          <w:sz w:val="16"/>
          <w:szCs w:val="16"/>
          <w:lang w:val="es-CO"/>
        </w:rPr>
        <w:t>Caso Poblete Vilches y otros Vs. Chile,</w:t>
      </w:r>
      <w:r w:rsidR="00DE2EE5" w:rsidRPr="003C7C29">
        <w:rPr>
          <w:rFonts w:ascii="Verdana" w:hAnsi="Verdana"/>
          <w:bCs/>
          <w:i/>
          <w:sz w:val="16"/>
          <w:szCs w:val="16"/>
          <w:lang w:val="es-CO"/>
        </w:rPr>
        <w:t xml:space="preserve"> supra,</w:t>
      </w:r>
      <w:r w:rsidRPr="003C7C29">
        <w:rPr>
          <w:rFonts w:ascii="Verdana" w:hAnsi="Verdana"/>
          <w:bCs/>
          <w:i/>
          <w:sz w:val="16"/>
          <w:szCs w:val="16"/>
          <w:lang w:val="es-CO"/>
        </w:rPr>
        <w:t xml:space="preserve"> párr. 104</w:t>
      </w:r>
      <w:r w:rsidR="00BE5356">
        <w:rPr>
          <w:rFonts w:ascii="Verdana" w:hAnsi="Verdana"/>
          <w:bCs/>
          <w:i/>
          <w:sz w:val="16"/>
          <w:szCs w:val="16"/>
          <w:lang w:val="es-CO"/>
        </w:rPr>
        <w:t>;</w:t>
      </w:r>
      <w:r w:rsidR="004C2495" w:rsidRPr="003C7C29">
        <w:rPr>
          <w:rFonts w:ascii="Verdana" w:hAnsi="Verdana"/>
          <w:bCs/>
          <w:i/>
          <w:sz w:val="16"/>
          <w:szCs w:val="16"/>
          <w:lang w:val="es-CO"/>
        </w:rPr>
        <w:t xml:space="preserve"> </w:t>
      </w:r>
      <w:r w:rsidRPr="003C7C29">
        <w:rPr>
          <w:rFonts w:ascii="Verdana" w:hAnsi="Verdana"/>
          <w:sz w:val="16"/>
          <w:szCs w:val="16"/>
          <w:lang w:val="es-CO"/>
        </w:rPr>
        <w:t xml:space="preserve">Comité de Derechos Económicos, Sociales y Culturales, </w:t>
      </w:r>
      <w:r w:rsidRPr="003C7C29">
        <w:rPr>
          <w:rFonts w:ascii="Verdana" w:hAnsi="Verdana"/>
          <w:i/>
          <w:sz w:val="16"/>
          <w:szCs w:val="16"/>
          <w:lang w:val="es-CO"/>
        </w:rPr>
        <w:t>Observación General No. 3: La índole de las obligaciones de los Estados Partes</w:t>
      </w:r>
      <w:r w:rsidRPr="003C7C29">
        <w:rPr>
          <w:rFonts w:ascii="Verdana" w:hAnsi="Verdana"/>
          <w:sz w:val="16"/>
          <w:szCs w:val="16"/>
          <w:lang w:val="es-CO"/>
        </w:rPr>
        <w:t xml:space="preserve"> </w:t>
      </w:r>
      <w:r w:rsidRPr="003C7C29">
        <w:rPr>
          <w:rFonts w:ascii="Verdana" w:hAnsi="Verdana"/>
          <w:i/>
          <w:sz w:val="16"/>
          <w:szCs w:val="16"/>
          <w:lang w:val="es-CO"/>
        </w:rPr>
        <w:t>(párrafo 1 del artículo 2 del Pacto),</w:t>
      </w:r>
      <w:r w:rsidRPr="003C7C29">
        <w:rPr>
          <w:rFonts w:ascii="Verdana" w:hAnsi="Verdana"/>
          <w:sz w:val="16"/>
          <w:szCs w:val="16"/>
          <w:lang w:val="es-CO"/>
        </w:rPr>
        <w:t xml:space="preserve"> UN Doc. E/1991/23, 14 de diciembre de 1990, párr. 3</w:t>
      </w:r>
      <w:r w:rsidR="007520D7" w:rsidRPr="003C7C29">
        <w:rPr>
          <w:rFonts w:ascii="Verdana" w:hAnsi="Verdana"/>
          <w:sz w:val="16"/>
          <w:szCs w:val="16"/>
          <w:lang w:val="es-CO"/>
        </w:rPr>
        <w:t>,</w:t>
      </w:r>
      <w:r w:rsidRPr="003C7C29">
        <w:rPr>
          <w:rFonts w:ascii="Verdana" w:hAnsi="Verdana"/>
          <w:sz w:val="16"/>
          <w:szCs w:val="16"/>
          <w:lang w:val="es-CO"/>
        </w:rPr>
        <w:t xml:space="preserve"> y</w:t>
      </w:r>
      <w:r w:rsidR="0074770A">
        <w:rPr>
          <w:rFonts w:ascii="Verdana" w:hAnsi="Verdana"/>
          <w:sz w:val="16"/>
          <w:szCs w:val="16"/>
          <w:lang w:val="es-CO"/>
        </w:rPr>
        <w:t xml:space="preserve"> </w:t>
      </w:r>
      <w:r w:rsidR="0074770A" w:rsidRPr="00AB763E">
        <w:rPr>
          <w:rFonts w:ascii="Verdana" w:hAnsi="Verdana"/>
          <w:bCs/>
          <w:i/>
          <w:sz w:val="16"/>
          <w:szCs w:val="16"/>
          <w:lang w:val="en-US"/>
        </w:rPr>
        <w:t xml:space="preserve">Caso </w:t>
      </w:r>
      <w:proofErr w:type="spellStart"/>
      <w:r w:rsidR="0074770A" w:rsidRPr="00AB763E">
        <w:rPr>
          <w:rFonts w:ascii="Verdana" w:hAnsi="Verdana"/>
          <w:bCs/>
          <w:i/>
          <w:sz w:val="16"/>
          <w:szCs w:val="16"/>
          <w:lang w:val="en-US"/>
        </w:rPr>
        <w:t>Spoltore</w:t>
      </w:r>
      <w:proofErr w:type="spellEnd"/>
      <w:r w:rsidR="0074770A" w:rsidRPr="00AB763E">
        <w:rPr>
          <w:rFonts w:ascii="Verdana" w:hAnsi="Verdana"/>
          <w:bCs/>
          <w:i/>
          <w:sz w:val="16"/>
          <w:szCs w:val="16"/>
          <w:lang w:val="en-US"/>
        </w:rPr>
        <w:t xml:space="preserve"> Vs. Argentina</w:t>
      </w:r>
      <w:r w:rsidR="0074770A">
        <w:rPr>
          <w:rFonts w:ascii="Verdana" w:hAnsi="Verdana"/>
          <w:bCs/>
          <w:i/>
          <w:sz w:val="16"/>
          <w:szCs w:val="16"/>
          <w:lang w:val="en-US"/>
        </w:rPr>
        <w:t>, supra</w:t>
      </w:r>
      <w:r w:rsidR="00F2736E" w:rsidRPr="001D18D7">
        <w:rPr>
          <w:rFonts w:ascii="Verdana" w:hAnsi="Verdana"/>
          <w:sz w:val="16"/>
          <w:szCs w:val="16"/>
          <w:lang w:val="es-CO"/>
        </w:rPr>
        <w:t>, párr. 9</w:t>
      </w:r>
      <w:r w:rsidR="00D265AC">
        <w:rPr>
          <w:rFonts w:ascii="Verdana" w:hAnsi="Verdana"/>
          <w:sz w:val="16"/>
          <w:szCs w:val="16"/>
          <w:lang w:val="es-CO"/>
        </w:rPr>
        <w:t>7</w:t>
      </w:r>
      <w:r w:rsidR="0074770A">
        <w:rPr>
          <w:rFonts w:ascii="Verdana" w:hAnsi="Verdana"/>
          <w:sz w:val="16"/>
          <w:szCs w:val="16"/>
          <w:lang w:val="es-CO"/>
        </w:rPr>
        <w:t>.</w:t>
      </w:r>
      <w:r w:rsidR="007520D7" w:rsidRPr="003C7C29">
        <w:rPr>
          <w:rFonts w:ascii="Verdana" w:hAnsi="Verdana"/>
          <w:sz w:val="16"/>
          <w:szCs w:val="16"/>
          <w:lang w:val="es-CO"/>
        </w:rPr>
        <w:t xml:space="preserve"> Ver también, </w:t>
      </w:r>
      <w:r w:rsidRPr="003C7C29">
        <w:rPr>
          <w:rFonts w:ascii="Verdana" w:hAnsi="Verdana"/>
          <w:sz w:val="16"/>
          <w:szCs w:val="16"/>
          <w:lang w:val="es-CO"/>
        </w:rPr>
        <w:t xml:space="preserve">Comité de Derechos Económicos, Sociales y Culturales, </w:t>
      </w:r>
      <w:r w:rsidRPr="003C7C29">
        <w:rPr>
          <w:rFonts w:ascii="Verdana" w:hAnsi="Verdana"/>
          <w:i/>
          <w:sz w:val="16"/>
          <w:szCs w:val="16"/>
          <w:lang w:val="es-CO"/>
        </w:rPr>
        <w:t>Observación General No. 19:</w:t>
      </w:r>
      <w:r w:rsidRPr="003C7C29">
        <w:rPr>
          <w:rFonts w:ascii="Verdana" w:hAnsi="Verdana"/>
          <w:sz w:val="16"/>
          <w:szCs w:val="16"/>
          <w:lang w:val="es-CO"/>
        </w:rPr>
        <w:t xml:space="preserve"> </w:t>
      </w:r>
      <w:r w:rsidRPr="003C7C29">
        <w:rPr>
          <w:rFonts w:ascii="Verdana" w:hAnsi="Verdana"/>
          <w:i/>
          <w:iCs/>
          <w:sz w:val="16"/>
          <w:szCs w:val="16"/>
          <w:lang w:val="es-CO"/>
        </w:rPr>
        <w:t>El derecho a la seguridad social (artículo 9)</w:t>
      </w:r>
      <w:r w:rsidRPr="003C7C29">
        <w:rPr>
          <w:rFonts w:ascii="Verdana" w:hAnsi="Verdana"/>
          <w:sz w:val="16"/>
          <w:szCs w:val="16"/>
          <w:lang w:val="es-CO"/>
        </w:rPr>
        <w:t>, UN Doc. E/C.12/GC/19, 4 de febrero de 2008, párr. 40.</w:t>
      </w:r>
    </w:p>
  </w:footnote>
  <w:footnote w:id="29">
    <w:p w14:paraId="2EC36ACF" w14:textId="0AD9302F" w:rsidR="007A0C5C" w:rsidRPr="003C7C29" w:rsidRDefault="007A0C5C" w:rsidP="00D53339">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004C2495" w:rsidRPr="003C7C29">
        <w:rPr>
          <w:rFonts w:ascii="Verdana" w:hAnsi="Verdana"/>
          <w:sz w:val="16"/>
          <w:szCs w:val="16"/>
          <w:lang w:val="es-CO"/>
        </w:rPr>
        <w:t xml:space="preserve">Párrafo 172 de la Sentencia; </w:t>
      </w:r>
      <w:r w:rsidR="002D1675" w:rsidRPr="003C7C29">
        <w:rPr>
          <w:rFonts w:ascii="Verdana" w:hAnsi="Verdana"/>
          <w:i/>
          <w:sz w:val="16"/>
          <w:szCs w:val="16"/>
          <w:lang w:val="es-CO"/>
        </w:rPr>
        <w:t>c</w:t>
      </w:r>
      <w:r w:rsidRPr="003C7C29">
        <w:rPr>
          <w:rFonts w:ascii="Verdana" w:hAnsi="Verdana"/>
          <w:i/>
          <w:sz w:val="16"/>
          <w:szCs w:val="16"/>
          <w:lang w:val="es-CO"/>
        </w:rPr>
        <w:t xml:space="preserve">fr. </w:t>
      </w:r>
      <w:r w:rsidR="004C2495" w:rsidRPr="003C7C29">
        <w:rPr>
          <w:rFonts w:ascii="Verdana" w:hAnsi="Verdana"/>
          <w:bCs/>
          <w:i/>
          <w:sz w:val="16"/>
          <w:szCs w:val="16"/>
          <w:lang w:val="es-CO"/>
        </w:rPr>
        <w:t>Caso Poblete Vilches y otros Vs. Chile, supra, párr. 104</w:t>
      </w:r>
      <w:r w:rsidR="00BE5356">
        <w:rPr>
          <w:rFonts w:ascii="Verdana" w:hAnsi="Verdana"/>
          <w:bCs/>
          <w:i/>
          <w:sz w:val="16"/>
          <w:szCs w:val="16"/>
          <w:lang w:val="es-CO"/>
        </w:rPr>
        <w:t>;</w:t>
      </w:r>
      <w:r w:rsidR="004C2495" w:rsidRPr="003C7C29">
        <w:rPr>
          <w:rFonts w:ascii="Verdana" w:hAnsi="Verdana"/>
          <w:bCs/>
          <w:i/>
          <w:sz w:val="16"/>
          <w:szCs w:val="16"/>
          <w:lang w:val="es-CO"/>
        </w:rPr>
        <w:t xml:space="preserve"> </w:t>
      </w:r>
      <w:r w:rsidRPr="003C7C29">
        <w:rPr>
          <w:rFonts w:ascii="Verdana" w:hAnsi="Verdana"/>
          <w:sz w:val="16"/>
          <w:szCs w:val="16"/>
          <w:lang w:val="es-CO"/>
        </w:rPr>
        <w:t xml:space="preserve">Comité de Derechos Económicos, Sociales y Culturales, </w:t>
      </w:r>
      <w:r w:rsidRPr="003C7C29">
        <w:rPr>
          <w:rFonts w:ascii="Verdana" w:hAnsi="Verdana"/>
          <w:i/>
          <w:sz w:val="16"/>
          <w:szCs w:val="16"/>
          <w:lang w:val="es-CO"/>
        </w:rPr>
        <w:t>Observación General No. 3, supra</w:t>
      </w:r>
      <w:r w:rsidRPr="003C7C29">
        <w:rPr>
          <w:rFonts w:ascii="Verdana" w:hAnsi="Verdana"/>
          <w:sz w:val="16"/>
          <w:szCs w:val="16"/>
          <w:lang w:val="es-CO"/>
        </w:rPr>
        <w:t>, párr. 9</w:t>
      </w:r>
      <w:r w:rsidR="0056682F" w:rsidRPr="003C7C29">
        <w:rPr>
          <w:rFonts w:ascii="Verdana" w:hAnsi="Verdana"/>
          <w:sz w:val="16"/>
          <w:szCs w:val="16"/>
          <w:lang w:val="es-CO"/>
        </w:rPr>
        <w:t xml:space="preserve">, y </w:t>
      </w:r>
      <w:r w:rsidR="00D265AC" w:rsidRPr="00AB763E">
        <w:rPr>
          <w:rFonts w:ascii="Verdana" w:hAnsi="Verdana"/>
          <w:bCs/>
          <w:i/>
          <w:sz w:val="16"/>
          <w:szCs w:val="16"/>
          <w:lang w:val="en-US"/>
        </w:rPr>
        <w:t xml:space="preserve">Caso </w:t>
      </w:r>
      <w:proofErr w:type="spellStart"/>
      <w:r w:rsidR="00D265AC" w:rsidRPr="00AB763E">
        <w:rPr>
          <w:rFonts w:ascii="Verdana" w:hAnsi="Verdana"/>
          <w:bCs/>
          <w:i/>
          <w:sz w:val="16"/>
          <w:szCs w:val="16"/>
          <w:lang w:val="en-US"/>
        </w:rPr>
        <w:t>Spoltore</w:t>
      </w:r>
      <w:proofErr w:type="spellEnd"/>
      <w:r w:rsidR="00D265AC" w:rsidRPr="00AB763E">
        <w:rPr>
          <w:rFonts w:ascii="Verdana" w:hAnsi="Verdana"/>
          <w:bCs/>
          <w:i/>
          <w:sz w:val="16"/>
          <w:szCs w:val="16"/>
          <w:lang w:val="en-US"/>
        </w:rPr>
        <w:t xml:space="preserve"> Vs. Argentina</w:t>
      </w:r>
      <w:r w:rsidR="00D265AC">
        <w:rPr>
          <w:rFonts w:ascii="Verdana" w:hAnsi="Verdana"/>
          <w:bCs/>
          <w:i/>
          <w:sz w:val="16"/>
          <w:szCs w:val="16"/>
          <w:lang w:val="en-US"/>
        </w:rPr>
        <w:t>, supra</w:t>
      </w:r>
      <w:r w:rsidR="00D265AC" w:rsidRPr="00AB763E">
        <w:rPr>
          <w:rFonts w:ascii="Verdana" w:hAnsi="Verdana"/>
          <w:sz w:val="16"/>
          <w:szCs w:val="16"/>
          <w:lang w:val="es-CO"/>
        </w:rPr>
        <w:t>, párr. 9</w:t>
      </w:r>
      <w:r w:rsidR="00D265AC">
        <w:rPr>
          <w:rFonts w:ascii="Verdana" w:hAnsi="Verdana"/>
          <w:sz w:val="16"/>
          <w:szCs w:val="16"/>
          <w:lang w:val="es-CO"/>
        </w:rPr>
        <w:t xml:space="preserve">7. </w:t>
      </w:r>
      <w:r w:rsidR="0056682F" w:rsidRPr="003C7C29">
        <w:rPr>
          <w:rFonts w:ascii="Verdana" w:hAnsi="Verdana"/>
          <w:sz w:val="16"/>
          <w:szCs w:val="16"/>
          <w:lang w:val="es-CO"/>
        </w:rPr>
        <w:t>Ver también,</w:t>
      </w:r>
      <w:r w:rsidRPr="003C7C29">
        <w:rPr>
          <w:rFonts w:ascii="Verdana" w:hAnsi="Verdana"/>
          <w:sz w:val="16"/>
          <w:szCs w:val="16"/>
          <w:lang w:val="es-CO"/>
        </w:rPr>
        <w:t xml:space="preserve"> Comité de Derechos Económicos, Sociales y Culturales, </w:t>
      </w:r>
      <w:r w:rsidRPr="003C7C29">
        <w:rPr>
          <w:rFonts w:ascii="Verdana" w:hAnsi="Verdana"/>
          <w:i/>
          <w:sz w:val="16"/>
          <w:szCs w:val="16"/>
          <w:lang w:val="es-CO"/>
        </w:rPr>
        <w:t>Observación General No. 19</w:t>
      </w:r>
      <w:r w:rsidRPr="003C7C29">
        <w:rPr>
          <w:rFonts w:ascii="Verdana" w:hAnsi="Verdana"/>
          <w:sz w:val="16"/>
          <w:szCs w:val="16"/>
          <w:lang w:val="es-CO"/>
        </w:rPr>
        <w:t xml:space="preserve">, </w:t>
      </w:r>
      <w:r w:rsidRPr="003C7C29">
        <w:rPr>
          <w:rFonts w:ascii="Verdana" w:hAnsi="Verdana"/>
          <w:i/>
          <w:sz w:val="16"/>
          <w:szCs w:val="16"/>
          <w:lang w:val="es-CO"/>
        </w:rPr>
        <w:t>supra</w:t>
      </w:r>
      <w:r w:rsidRPr="003C7C29">
        <w:rPr>
          <w:rFonts w:ascii="Verdana" w:hAnsi="Verdana"/>
          <w:sz w:val="16"/>
          <w:szCs w:val="16"/>
          <w:lang w:val="es-CO"/>
        </w:rPr>
        <w:t>, párrs. 40 y 41.</w:t>
      </w:r>
    </w:p>
  </w:footnote>
  <w:footnote w:id="30">
    <w:p w14:paraId="19E5476A" w14:textId="0CDEBD0E" w:rsidR="007A0C5C" w:rsidRPr="003C7C29" w:rsidRDefault="007A0C5C" w:rsidP="00D53339">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002D1675" w:rsidRPr="003C7C29">
        <w:rPr>
          <w:rFonts w:ascii="Verdana" w:hAnsi="Verdana"/>
          <w:sz w:val="16"/>
          <w:szCs w:val="16"/>
          <w:lang w:val="es-CO"/>
        </w:rPr>
        <w:t xml:space="preserve">Párrafo 172 de la Sentencia; </w:t>
      </w:r>
      <w:r w:rsidR="002D1675" w:rsidRPr="003C7C29">
        <w:rPr>
          <w:rFonts w:ascii="Verdana" w:hAnsi="Verdana"/>
          <w:i/>
          <w:sz w:val="16"/>
          <w:szCs w:val="16"/>
          <w:lang w:val="es-CO"/>
        </w:rPr>
        <w:t xml:space="preserve">cfr. </w:t>
      </w:r>
      <w:r w:rsidRPr="003C7C29">
        <w:rPr>
          <w:rFonts w:ascii="Verdana" w:hAnsi="Verdana"/>
          <w:i/>
          <w:sz w:val="16"/>
          <w:szCs w:val="16"/>
          <w:lang w:val="es-CO"/>
        </w:rPr>
        <w:t>Caso Acevedo Buendía y otros (“Cesantes y Jubilados de la Contraloría”) Vs. Perú</w:t>
      </w:r>
      <w:r w:rsidR="00BE5356">
        <w:rPr>
          <w:rFonts w:ascii="Verdana" w:hAnsi="Verdana"/>
          <w:i/>
          <w:sz w:val="16"/>
          <w:szCs w:val="16"/>
          <w:lang w:val="es-CO"/>
        </w:rPr>
        <w:t>, supra</w:t>
      </w:r>
      <w:r w:rsidRPr="003C7C29">
        <w:rPr>
          <w:rFonts w:ascii="Verdana" w:hAnsi="Verdana"/>
          <w:sz w:val="16"/>
          <w:szCs w:val="16"/>
          <w:lang w:val="es-CO"/>
        </w:rPr>
        <w:t>, párrs. 102 a 103</w:t>
      </w:r>
      <w:r w:rsidR="0056682F" w:rsidRPr="003C7C29">
        <w:rPr>
          <w:rFonts w:ascii="Verdana" w:hAnsi="Verdana"/>
          <w:sz w:val="16"/>
          <w:szCs w:val="16"/>
          <w:lang w:val="es-CO"/>
        </w:rPr>
        <w:t>;</w:t>
      </w:r>
      <w:r w:rsidRPr="003C7C29">
        <w:rPr>
          <w:rFonts w:ascii="Verdana" w:hAnsi="Verdana"/>
          <w:sz w:val="16"/>
          <w:szCs w:val="16"/>
          <w:lang w:val="es-CO"/>
        </w:rPr>
        <w:t xml:space="preserve"> </w:t>
      </w:r>
      <w:r w:rsidR="00AE5B4E" w:rsidRPr="003C7C29">
        <w:rPr>
          <w:rFonts w:ascii="Verdana" w:hAnsi="Verdana"/>
          <w:bCs/>
          <w:i/>
          <w:sz w:val="16"/>
          <w:szCs w:val="16"/>
          <w:lang w:val="es-CO"/>
        </w:rPr>
        <w:t>Caso Asociación Nacional de Cesantes y Jubilados de la Superintendencia Nacional de Administración Tributaria (ANCEJUB-SUNAT) Vs. Perú</w:t>
      </w:r>
      <w:r w:rsidR="00BE5356">
        <w:rPr>
          <w:rFonts w:ascii="Verdana" w:hAnsi="Verdana"/>
          <w:bCs/>
          <w:i/>
          <w:sz w:val="16"/>
          <w:szCs w:val="16"/>
          <w:lang w:val="es-CO"/>
        </w:rPr>
        <w:t>, supra</w:t>
      </w:r>
      <w:r w:rsidRPr="003C7C29">
        <w:rPr>
          <w:rFonts w:ascii="Verdana" w:hAnsi="Verdana"/>
          <w:sz w:val="16"/>
          <w:szCs w:val="16"/>
          <w:lang w:val="es-CO"/>
        </w:rPr>
        <w:t>, párr. 173</w:t>
      </w:r>
      <w:r w:rsidR="0056682F" w:rsidRPr="003C7C29">
        <w:rPr>
          <w:rFonts w:ascii="Verdana" w:hAnsi="Verdana"/>
          <w:sz w:val="16"/>
          <w:szCs w:val="16"/>
          <w:lang w:val="es-CO"/>
        </w:rPr>
        <w:t>, y</w:t>
      </w:r>
      <w:r w:rsidR="00D265AC" w:rsidRPr="001D18D7">
        <w:rPr>
          <w:rFonts w:ascii="Verdana" w:hAnsi="Verdana"/>
          <w:sz w:val="16"/>
          <w:szCs w:val="16"/>
          <w:lang w:val="es-CO"/>
        </w:rPr>
        <w:t xml:space="preserve"> </w:t>
      </w:r>
      <w:r w:rsidR="00D265AC" w:rsidRPr="00D265AC">
        <w:rPr>
          <w:rFonts w:ascii="Verdana" w:hAnsi="Verdana"/>
          <w:bCs/>
          <w:i/>
          <w:sz w:val="16"/>
          <w:szCs w:val="16"/>
          <w:lang w:val="en-US"/>
        </w:rPr>
        <w:t>C</w:t>
      </w:r>
      <w:r w:rsidR="00D265AC" w:rsidRPr="00AB763E">
        <w:rPr>
          <w:rFonts w:ascii="Verdana" w:hAnsi="Verdana"/>
          <w:bCs/>
          <w:i/>
          <w:sz w:val="16"/>
          <w:szCs w:val="16"/>
          <w:lang w:val="en-US"/>
        </w:rPr>
        <w:t xml:space="preserve">aso </w:t>
      </w:r>
      <w:proofErr w:type="spellStart"/>
      <w:r w:rsidR="00D265AC" w:rsidRPr="00AB763E">
        <w:rPr>
          <w:rFonts w:ascii="Verdana" w:hAnsi="Verdana"/>
          <w:bCs/>
          <w:i/>
          <w:sz w:val="16"/>
          <w:szCs w:val="16"/>
          <w:lang w:val="en-US"/>
        </w:rPr>
        <w:t>Spoltore</w:t>
      </w:r>
      <w:proofErr w:type="spellEnd"/>
      <w:r w:rsidR="00D265AC" w:rsidRPr="00AB763E">
        <w:rPr>
          <w:rFonts w:ascii="Verdana" w:hAnsi="Verdana"/>
          <w:bCs/>
          <w:i/>
          <w:sz w:val="16"/>
          <w:szCs w:val="16"/>
          <w:lang w:val="en-US"/>
        </w:rPr>
        <w:t xml:space="preserve"> Vs. Argentina</w:t>
      </w:r>
      <w:r w:rsidR="00D265AC">
        <w:rPr>
          <w:rFonts w:ascii="Verdana" w:hAnsi="Verdana"/>
          <w:bCs/>
          <w:i/>
          <w:sz w:val="16"/>
          <w:szCs w:val="16"/>
          <w:lang w:val="en-US"/>
        </w:rPr>
        <w:t>, supra</w:t>
      </w:r>
      <w:r w:rsidR="00D265AC" w:rsidRPr="00AB763E">
        <w:rPr>
          <w:rFonts w:ascii="Verdana" w:hAnsi="Verdana"/>
          <w:sz w:val="16"/>
          <w:szCs w:val="16"/>
          <w:lang w:val="es-CO"/>
        </w:rPr>
        <w:t>, párr. 9</w:t>
      </w:r>
      <w:r w:rsidR="00D265AC">
        <w:rPr>
          <w:rFonts w:ascii="Verdana" w:hAnsi="Verdana"/>
          <w:sz w:val="16"/>
          <w:szCs w:val="16"/>
          <w:lang w:val="es-CO"/>
        </w:rPr>
        <w:t>7</w:t>
      </w:r>
      <w:r w:rsidRPr="003C7C29">
        <w:rPr>
          <w:rFonts w:ascii="Verdana" w:hAnsi="Verdana"/>
          <w:sz w:val="16"/>
          <w:szCs w:val="16"/>
          <w:lang w:val="es-CO"/>
        </w:rPr>
        <w:t>.</w:t>
      </w:r>
    </w:p>
  </w:footnote>
  <w:footnote w:id="31">
    <w:p w14:paraId="0BF17A8A" w14:textId="314CE5F3" w:rsidR="007A0C5C" w:rsidRPr="003C7C29" w:rsidRDefault="007A0C5C" w:rsidP="00D53339">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000B0D8C" w:rsidRPr="003C7C29">
        <w:rPr>
          <w:rFonts w:ascii="Verdana" w:hAnsi="Verdana"/>
          <w:sz w:val="16"/>
          <w:szCs w:val="16"/>
          <w:lang w:val="es-CO"/>
        </w:rPr>
        <w:t xml:space="preserve">Párrafo 172 de la Sentencia; </w:t>
      </w:r>
      <w:r w:rsidR="000B0D8C" w:rsidRPr="003C7C29">
        <w:rPr>
          <w:rFonts w:ascii="Verdana" w:hAnsi="Verdana"/>
          <w:i/>
          <w:iCs/>
          <w:sz w:val="16"/>
          <w:szCs w:val="16"/>
          <w:lang w:val="es-CO"/>
        </w:rPr>
        <w:t>c</w:t>
      </w:r>
      <w:r w:rsidR="000B0D8C" w:rsidRPr="003C7C29">
        <w:rPr>
          <w:rFonts w:ascii="Verdana" w:hAnsi="Verdana"/>
          <w:i/>
          <w:sz w:val="16"/>
          <w:szCs w:val="16"/>
          <w:lang w:val="es-CO"/>
        </w:rPr>
        <w:t>fr.</w:t>
      </w:r>
      <w:r w:rsidRPr="003C7C29">
        <w:rPr>
          <w:rFonts w:ascii="Verdana" w:hAnsi="Verdana"/>
          <w:i/>
          <w:sz w:val="16"/>
          <w:szCs w:val="16"/>
          <w:lang w:val="es-CO"/>
        </w:rPr>
        <w:t xml:space="preserve"> Caso Poblete Vilches y otros Vs. Chile, supra</w:t>
      </w:r>
      <w:r w:rsidRPr="003C7C29">
        <w:rPr>
          <w:rFonts w:ascii="Verdana" w:hAnsi="Verdana"/>
          <w:sz w:val="16"/>
          <w:szCs w:val="16"/>
          <w:lang w:val="es-CO"/>
        </w:rPr>
        <w:t>, párr. 104</w:t>
      </w:r>
      <w:r w:rsidR="0056682F" w:rsidRPr="003C7C29">
        <w:rPr>
          <w:rFonts w:ascii="Verdana" w:hAnsi="Verdana"/>
          <w:sz w:val="16"/>
          <w:szCs w:val="16"/>
          <w:lang w:val="es-CO"/>
        </w:rPr>
        <w:t xml:space="preserve">; </w:t>
      </w:r>
      <w:r w:rsidRPr="003C7C29">
        <w:rPr>
          <w:rFonts w:ascii="Verdana" w:hAnsi="Verdana"/>
          <w:i/>
          <w:sz w:val="16"/>
          <w:szCs w:val="16"/>
          <w:lang w:val="es-CO"/>
        </w:rPr>
        <w:t>Caso Asociación Nacional de Cesantes y Jubilados de la Superintendencia Nacional de Administración Tributaria (ANCEJUB-SUNAT) Vs. Perú, supra</w:t>
      </w:r>
      <w:r w:rsidRPr="003C7C29">
        <w:rPr>
          <w:rFonts w:ascii="Verdana" w:hAnsi="Verdana"/>
          <w:sz w:val="16"/>
          <w:szCs w:val="16"/>
          <w:lang w:val="es-CO"/>
        </w:rPr>
        <w:t>, párr. 173</w:t>
      </w:r>
      <w:r w:rsidR="0056682F" w:rsidRPr="003C7C29">
        <w:rPr>
          <w:rFonts w:ascii="Verdana" w:hAnsi="Verdana"/>
          <w:sz w:val="16"/>
          <w:szCs w:val="16"/>
          <w:lang w:val="es-CO"/>
        </w:rPr>
        <w:t>, y</w:t>
      </w:r>
      <w:r w:rsidR="009128EF">
        <w:rPr>
          <w:rFonts w:ascii="Verdana" w:hAnsi="Verdana"/>
          <w:sz w:val="16"/>
          <w:szCs w:val="16"/>
          <w:lang w:val="es-CO"/>
        </w:rPr>
        <w:t xml:space="preserve"> </w:t>
      </w:r>
      <w:r w:rsidR="009128EF" w:rsidRPr="00AB763E">
        <w:rPr>
          <w:rFonts w:ascii="Verdana" w:hAnsi="Verdana"/>
          <w:bCs/>
          <w:i/>
          <w:sz w:val="16"/>
          <w:szCs w:val="16"/>
          <w:lang w:val="en-US"/>
        </w:rPr>
        <w:t xml:space="preserve">Caso </w:t>
      </w:r>
      <w:proofErr w:type="spellStart"/>
      <w:r w:rsidR="009128EF" w:rsidRPr="00AB763E">
        <w:rPr>
          <w:rFonts w:ascii="Verdana" w:hAnsi="Verdana"/>
          <w:bCs/>
          <w:i/>
          <w:sz w:val="16"/>
          <w:szCs w:val="16"/>
          <w:lang w:val="en-US"/>
        </w:rPr>
        <w:t>Spoltore</w:t>
      </w:r>
      <w:proofErr w:type="spellEnd"/>
      <w:r w:rsidR="009128EF" w:rsidRPr="00AB763E">
        <w:rPr>
          <w:rFonts w:ascii="Verdana" w:hAnsi="Verdana"/>
          <w:bCs/>
          <w:i/>
          <w:sz w:val="16"/>
          <w:szCs w:val="16"/>
          <w:lang w:val="en-US"/>
        </w:rPr>
        <w:t xml:space="preserve"> Vs. Argentina</w:t>
      </w:r>
      <w:r w:rsidR="009128EF">
        <w:rPr>
          <w:rFonts w:ascii="Verdana" w:hAnsi="Verdana"/>
          <w:bCs/>
          <w:i/>
          <w:sz w:val="16"/>
          <w:szCs w:val="16"/>
          <w:lang w:val="en-US"/>
        </w:rPr>
        <w:t>, supra</w:t>
      </w:r>
      <w:r w:rsidR="009128EF" w:rsidRPr="00AB763E">
        <w:rPr>
          <w:rFonts w:ascii="Verdana" w:hAnsi="Verdana"/>
          <w:sz w:val="16"/>
          <w:szCs w:val="16"/>
          <w:lang w:val="es-CO"/>
        </w:rPr>
        <w:t>, párr. 9</w:t>
      </w:r>
      <w:r w:rsidR="009128EF">
        <w:rPr>
          <w:rFonts w:ascii="Verdana" w:hAnsi="Verdana"/>
          <w:sz w:val="16"/>
          <w:szCs w:val="16"/>
          <w:lang w:val="es-CO"/>
        </w:rPr>
        <w:t>7</w:t>
      </w:r>
      <w:r w:rsidR="002E0CE1" w:rsidRPr="003C7C29">
        <w:rPr>
          <w:rFonts w:ascii="Verdana" w:hAnsi="Verdana"/>
          <w:sz w:val="16"/>
          <w:szCs w:val="16"/>
          <w:lang w:val="es-CO"/>
        </w:rPr>
        <w:t>.</w:t>
      </w:r>
    </w:p>
  </w:footnote>
  <w:footnote w:id="32">
    <w:p w14:paraId="49F6A91E" w14:textId="6E1E7A0F" w:rsidR="002E0CE1" w:rsidRPr="003C7C29" w:rsidRDefault="002E0CE1" w:rsidP="00D53339">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Pr="003C7C29">
        <w:rPr>
          <w:rFonts w:ascii="Verdana" w:hAnsi="Verdana"/>
          <w:i/>
          <w:iCs/>
          <w:sz w:val="16"/>
          <w:szCs w:val="16"/>
          <w:lang w:val="es-CO"/>
        </w:rPr>
        <w:t>Cfr.</w:t>
      </w:r>
      <w:r w:rsidRPr="003C7C29">
        <w:rPr>
          <w:rFonts w:ascii="Verdana" w:hAnsi="Verdana"/>
          <w:sz w:val="16"/>
          <w:szCs w:val="16"/>
          <w:lang w:val="es-CO"/>
        </w:rPr>
        <w:t xml:space="preserve"> Constitución de Brasil, </w:t>
      </w:r>
      <w:r w:rsidR="00CC5C59" w:rsidRPr="003C7C29">
        <w:rPr>
          <w:rFonts w:ascii="Verdana" w:hAnsi="Verdana"/>
          <w:i/>
          <w:iCs/>
          <w:sz w:val="16"/>
          <w:szCs w:val="16"/>
          <w:lang w:val="es-CO"/>
        </w:rPr>
        <w:t>supra</w:t>
      </w:r>
      <w:r w:rsidRPr="003C7C29">
        <w:rPr>
          <w:rFonts w:ascii="Verdana" w:hAnsi="Verdana"/>
          <w:sz w:val="16"/>
          <w:szCs w:val="16"/>
          <w:lang w:val="es-CO"/>
        </w:rPr>
        <w:t>, Artículo 3º.</w:t>
      </w:r>
    </w:p>
  </w:footnote>
  <w:footnote w:id="33">
    <w:p w14:paraId="16C2CB74" w14:textId="223D8909" w:rsidR="0069286D" w:rsidRPr="003C7C29" w:rsidRDefault="0069286D" w:rsidP="00D53339">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Pr="003C7C29">
        <w:rPr>
          <w:rFonts w:ascii="Verdana" w:hAnsi="Verdana"/>
          <w:i/>
          <w:iCs/>
          <w:sz w:val="16"/>
          <w:szCs w:val="16"/>
          <w:lang w:val="es-CO"/>
        </w:rPr>
        <w:t>Cfr.</w:t>
      </w:r>
      <w:r w:rsidRPr="003C7C29">
        <w:rPr>
          <w:rFonts w:ascii="Verdana" w:hAnsi="Verdana"/>
          <w:sz w:val="16"/>
          <w:szCs w:val="16"/>
          <w:lang w:val="es-CO"/>
        </w:rPr>
        <w:t xml:space="preserve"> Constitución de Brasil, </w:t>
      </w:r>
      <w:r w:rsidR="00BD6CFA" w:rsidRPr="003C7C29">
        <w:rPr>
          <w:rFonts w:ascii="Verdana" w:hAnsi="Verdana"/>
          <w:i/>
          <w:iCs/>
          <w:sz w:val="16"/>
          <w:szCs w:val="16"/>
          <w:lang w:val="es-CO"/>
        </w:rPr>
        <w:t>supra</w:t>
      </w:r>
      <w:r w:rsidR="00BD6CFA" w:rsidRPr="003C7C29">
        <w:rPr>
          <w:rFonts w:ascii="Verdana" w:hAnsi="Verdana"/>
          <w:sz w:val="16"/>
          <w:szCs w:val="16"/>
          <w:lang w:val="es-CO"/>
        </w:rPr>
        <w:t xml:space="preserve">, Artículo 60, párrafo 4º. </w:t>
      </w:r>
    </w:p>
  </w:footnote>
  <w:footnote w:id="34">
    <w:p w14:paraId="4A03D5AA" w14:textId="77777777" w:rsidR="006C3EDA" w:rsidRPr="003C7C29" w:rsidRDefault="006C3EDA" w:rsidP="006C3EDA">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00D011EB" w:rsidRPr="003C7C29">
        <w:rPr>
          <w:rFonts w:ascii="Verdana" w:hAnsi="Verdana"/>
          <w:i/>
          <w:iCs/>
          <w:sz w:val="16"/>
          <w:szCs w:val="16"/>
          <w:lang w:val="es-CO"/>
        </w:rPr>
        <w:t>Cfr.</w:t>
      </w:r>
      <w:r w:rsidR="00D011EB" w:rsidRPr="003C7C29">
        <w:rPr>
          <w:rFonts w:ascii="Verdana" w:hAnsi="Verdana"/>
          <w:sz w:val="16"/>
          <w:szCs w:val="16"/>
          <w:lang w:val="es-CO"/>
        </w:rPr>
        <w:t xml:space="preserve"> Convención Americana, Artículo 1, y Protocolo de San Salvador, Artículo 1</w:t>
      </w:r>
      <w:r w:rsidRPr="003C7C29">
        <w:rPr>
          <w:rFonts w:ascii="Verdana" w:hAnsi="Verdana"/>
          <w:sz w:val="16"/>
          <w:szCs w:val="16"/>
          <w:lang w:val="es-CO"/>
        </w:rPr>
        <w:t xml:space="preserve">. </w:t>
      </w:r>
    </w:p>
  </w:footnote>
  <w:footnote w:id="35">
    <w:p w14:paraId="1028C143" w14:textId="77777777" w:rsidR="006C3EDA" w:rsidRPr="003C7C29" w:rsidRDefault="006C3EDA" w:rsidP="006C3EDA">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00D011EB" w:rsidRPr="003C7C29">
        <w:rPr>
          <w:rFonts w:ascii="Verdana" w:hAnsi="Verdana"/>
          <w:i/>
          <w:iCs/>
          <w:sz w:val="16"/>
          <w:szCs w:val="16"/>
          <w:lang w:val="es-CO"/>
        </w:rPr>
        <w:t>Cfr.</w:t>
      </w:r>
      <w:r w:rsidR="00D011EB" w:rsidRPr="003C7C29">
        <w:rPr>
          <w:rFonts w:ascii="Verdana" w:hAnsi="Verdana"/>
          <w:sz w:val="16"/>
          <w:szCs w:val="16"/>
          <w:lang w:val="es-CO"/>
        </w:rPr>
        <w:t xml:space="preserve"> Convención Americana, Artículos 33.b), 62 y 63</w:t>
      </w:r>
      <w:r w:rsidRPr="003C7C29">
        <w:rPr>
          <w:rFonts w:ascii="Verdana" w:hAnsi="Verdana"/>
          <w:sz w:val="16"/>
          <w:szCs w:val="16"/>
          <w:lang w:val="es-CO"/>
        </w:rPr>
        <w:t xml:space="preserve">. </w:t>
      </w:r>
    </w:p>
  </w:footnote>
  <w:footnote w:id="36">
    <w:p w14:paraId="068AED67" w14:textId="2DBEF437" w:rsidR="004870A2" w:rsidRPr="003C7C29" w:rsidRDefault="004870A2" w:rsidP="004870A2">
      <w:pPr>
        <w:pStyle w:val="Textonotapie"/>
        <w:snapToGrid w:val="0"/>
        <w:jc w:val="both"/>
        <w:rPr>
          <w:rFonts w:ascii="Verdana" w:hAnsi="Verdana"/>
          <w:sz w:val="16"/>
          <w:szCs w:val="16"/>
          <w:lang w:val="es-CO"/>
        </w:rPr>
      </w:pPr>
      <w:r w:rsidRPr="003C7C29">
        <w:rPr>
          <w:rStyle w:val="Refdenotaalpie"/>
          <w:rFonts w:ascii="Verdana" w:hAnsi="Verdana"/>
          <w:sz w:val="16"/>
          <w:szCs w:val="16"/>
          <w:lang w:val="es-CO"/>
        </w:rPr>
        <w:footnoteRef/>
      </w:r>
      <w:r w:rsidRPr="003C7C29">
        <w:rPr>
          <w:rFonts w:ascii="Verdana" w:hAnsi="Verdana"/>
          <w:sz w:val="16"/>
          <w:szCs w:val="16"/>
          <w:lang w:val="es-CO"/>
        </w:rPr>
        <w:t xml:space="preserve"> </w:t>
      </w:r>
      <w:r w:rsidRPr="003C7C29">
        <w:rPr>
          <w:rFonts w:ascii="Verdana" w:hAnsi="Verdana"/>
          <w:sz w:val="16"/>
          <w:szCs w:val="16"/>
          <w:lang w:val="es-CO"/>
        </w:rPr>
        <w:tab/>
      </w:r>
      <w:r w:rsidRPr="003C7C29">
        <w:rPr>
          <w:rFonts w:ascii="Verdana" w:hAnsi="Verdana"/>
          <w:i/>
          <w:sz w:val="16"/>
          <w:szCs w:val="16"/>
          <w:lang w:val="es-CO"/>
        </w:rPr>
        <w:t xml:space="preserve">Cfr. </w:t>
      </w:r>
      <w:r w:rsidRPr="003C7C29">
        <w:rPr>
          <w:rFonts w:ascii="Verdana" w:hAnsi="Verdana"/>
          <w:sz w:val="16"/>
          <w:szCs w:val="16"/>
          <w:lang w:val="es-CO"/>
        </w:rPr>
        <w:t xml:space="preserve">OEA, “Aprobación de indicadores de progreso para medición de derechos contemplados en el Protocolo de San Salvador”, resolución AG/RES. 2713 (XLII-O/12) aprobada en la segunda sesión plenaria de 4 de junio de 2012, Punto 1 de la resolución, disponible en: </w:t>
      </w:r>
      <w:hyperlink r:id="rId6" w:history="1">
        <w:r w:rsidRPr="003C7C29">
          <w:rPr>
            <w:rStyle w:val="Hipervnculo"/>
            <w:rFonts w:ascii="Verdana" w:hAnsi="Verdana"/>
            <w:sz w:val="16"/>
            <w:szCs w:val="16"/>
            <w:lang w:val="es-CO"/>
          </w:rPr>
          <w:t>http://www.oas.org/es/sadye/inclusion-social/protocolo-ssv/docs/pssv-indicadores-es.pdf</w:t>
        </w:r>
      </w:hyperlink>
      <w:r w:rsidRPr="003C7C29">
        <w:rPr>
          <w:rFonts w:ascii="Verdana" w:hAnsi="Verdana"/>
          <w:sz w:val="16"/>
          <w:szCs w:val="16"/>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D08"/>
    <w:multiLevelType w:val="hybridMultilevel"/>
    <w:tmpl w:val="A350D342"/>
    <w:lvl w:ilvl="0" w:tplc="0C0A0013">
      <w:start w:val="1"/>
      <w:numFmt w:val="upperRoman"/>
      <w:lvlText w:val="%1."/>
      <w:lvlJc w:val="right"/>
      <w:pPr>
        <w:ind w:left="1422" w:hanging="360"/>
      </w:pPr>
    </w:lvl>
    <w:lvl w:ilvl="1" w:tplc="040A0019" w:tentative="1">
      <w:start w:val="1"/>
      <w:numFmt w:val="lowerLetter"/>
      <w:lvlText w:val="%2."/>
      <w:lvlJc w:val="left"/>
      <w:pPr>
        <w:ind w:left="2142" w:hanging="360"/>
      </w:pPr>
    </w:lvl>
    <w:lvl w:ilvl="2" w:tplc="040A001B" w:tentative="1">
      <w:start w:val="1"/>
      <w:numFmt w:val="lowerRoman"/>
      <w:lvlText w:val="%3."/>
      <w:lvlJc w:val="right"/>
      <w:pPr>
        <w:ind w:left="2862" w:hanging="180"/>
      </w:pPr>
    </w:lvl>
    <w:lvl w:ilvl="3" w:tplc="040A000F" w:tentative="1">
      <w:start w:val="1"/>
      <w:numFmt w:val="decimal"/>
      <w:lvlText w:val="%4."/>
      <w:lvlJc w:val="left"/>
      <w:pPr>
        <w:ind w:left="3582" w:hanging="360"/>
      </w:pPr>
    </w:lvl>
    <w:lvl w:ilvl="4" w:tplc="040A0019" w:tentative="1">
      <w:start w:val="1"/>
      <w:numFmt w:val="lowerLetter"/>
      <w:lvlText w:val="%5."/>
      <w:lvlJc w:val="left"/>
      <w:pPr>
        <w:ind w:left="4302" w:hanging="360"/>
      </w:pPr>
    </w:lvl>
    <w:lvl w:ilvl="5" w:tplc="040A001B" w:tentative="1">
      <w:start w:val="1"/>
      <w:numFmt w:val="lowerRoman"/>
      <w:lvlText w:val="%6."/>
      <w:lvlJc w:val="right"/>
      <w:pPr>
        <w:ind w:left="5022" w:hanging="180"/>
      </w:pPr>
    </w:lvl>
    <w:lvl w:ilvl="6" w:tplc="040A000F" w:tentative="1">
      <w:start w:val="1"/>
      <w:numFmt w:val="decimal"/>
      <w:lvlText w:val="%7."/>
      <w:lvlJc w:val="left"/>
      <w:pPr>
        <w:ind w:left="5742" w:hanging="360"/>
      </w:pPr>
    </w:lvl>
    <w:lvl w:ilvl="7" w:tplc="040A0019" w:tentative="1">
      <w:start w:val="1"/>
      <w:numFmt w:val="lowerLetter"/>
      <w:lvlText w:val="%8."/>
      <w:lvlJc w:val="left"/>
      <w:pPr>
        <w:ind w:left="6462" w:hanging="360"/>
      </w:pPr>
    </w:lvl>
    <w:lvl w:ilvl="8" w:tplc="040A001B" w:tentative="1">
      <w:start w:val="1"/>
      <w:numFmt w:val="lowerRoman"/>
      <w:lvlText w:val="%9."/>
      <w:lvlJc w:val="right"/>
      <w:pPr>
        <w:ind w:left="7182" w:hanging="180"/>
      </w:pPr>
    </w:lvl>
  </w:abstractNum>
  <w:abstractNum w:abstractNumId="1" w15:restartNumberingAfterBreak="0">
    <w:nsid w:val="02772D15"/>
    <w:multiLevelType w:val="multilevel"/>
    <w:tmpl w:val="8FC4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C0554"/>
    <w:multiLevelType w:val="hybridMultilevel"/>
    <w:tmpl w:val="FBE2B582"/>
    <w:lvl w:ilvl="0" w:tplc="60E6DABC">
      <w:start w:val="1"/>
      <w:numFmt w:val="upperRoman"/>
      <w:lvlText w:val="%1."/>
      <w:lvlJc w:val="left"/>
      <w:pPr>
        <w:ind w:left="1420" w:hanging="72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3" w15:restartNumberingAfterBreak="0">
    <w:nsid w:val="15F74ADE"/>
    <w:multiLevelType w:val="hybridMultilevel"/>
    <w:tmpl w:val="A350D342"/>
    <w:lvl w:ilvl="0" w:tplc="0C0A0013">
      <w:start w:val="1"/>
      <w:numFmt w:val="upperRoman"/>
      <w:lvlText w:val="%1."/>
      <w:lvlJc w:val="right"/>
      <w:pPr>
        <w:ind w:left="1422" w:hanging="360"/>
      </w:pPr>
    </w:lvl>
    <w:lvl w:ilvl="1" w:tplc="040A0019" w:tentative="1">
      <w:start w:val="1"/>
      <w:numFmt w:val="lowerLetter"/>
      <w:lvlText w:val="%2."/>
      <w:lvlJc w:val="left"/>
      <w:pPr>
        <w:ind w:left="2142" w:hanging="360"/>
      </w:pPr>
    </w:lvl>
    <w:lvl w:ilvl="2" w:tplc="040A001B">
      <w:start w:val="1"/>
      <w:numFmt w:val="lowerRoman"/>
      <w:lvlText w:val="%3."/>
      <w:lvlJc w:val="right"/>
      <w:pPr>
        <w:ind w:left="2862" w:hanging="180"/>
      </w:pPr>
    </w:lvl>
    <w:lvl w:ilvl="3" w:tplc="040A000F" w:tentative="1">
      <w:start w:val="1"/>
      <w:numFmt w:val="decimal"/>
      <w:lvlText w:val="%4."/>
      <w:lvlJc w:val="left"/>
      <w:pPr>
        <w:ind w:left="3582" w:hanging="360"/>
      </w:pPr>
    </w:lvl>
    <w:lvl w:ilvl="4" w:tplc="040A0019" w:tentative="1">
      <w:start w:val="1"/>
      <w:numFmt w:val="lowerLetter"/>
      <w:lvlText w:val="%5."/>
      <w:lvlJc w:val="left"/>
      <w:pPr>
        <w:ind w:left="4302" w:hanging="360"/>
      </w:pPr>
    </w:lvl>
    <w:lvl w:ilvl="5" w:tplc="040A001B" w:tentative="1">
      <w:start w:val="1"/>
      <w:numFmt w:val="lowerRoman"/>
      <w:lvlText w:val="%6."/>
      <w:lvlJc w:val="right"/>
      <w:pPr>
        <w:ind w:left="5022" w:hanging="180"/>
      </w:pPr>
    </w:lvl>
    <w:lvl w:ilvl="6" w:tplc="040A000F" w:tentative="1">
      <w:start w:val="1"/>
      <w:numFmt w:val="decimal"/>
      <w:lvlText w:val="%7."/>
      <w:lvlJc w:val="left"/>
      <w:pPr>
        <w:ind w:left="5742" w:hanging="360"/>
      </w:pPr>
    </w:lvl>
    <w:lvl w:ilvl="7" w:tplc="040A0019" w:tentative="1">
      <w:start w:val="1"/>
      <w:numFmt w:val="lowerLetter"/>
      <w:lvlText w:val="%8."/>
      <w:lvlJc w:val="left"/>
      <w:pPr>
        <w:ind w:left="6462" w:hanging="360"/>
      </w:pPr>
    </w:lvl>
    <w:lvl w:ilvl="8" w:tplc="040A001B" w:tentative="1">
      <w:start w:val="1"/>
      <w:numFmt w:val="lowerRoman"/>
      <w:lvlText w:val="%9."/>
      <w:lvlJc w:val="right"/>
      <w:pPr>
        <w:ind w:left="7182" w:hanging="180"/>
      </w:pPr>
    </w:lvl>
  </w:abstractNum>
  <w:abstractNum w:abstractNumId="4" w15:restartNumberingAfterBreak="0">
    <w:nsid w:val="1BEB4459"/>
    <w:multiLevelType w:val="hybridMultilevel"/>
    <w:tmpl w:val="D2A22D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5842B23"/>
    <w:multiLevelType w:val="hybridMultilevel"/>
    <w:tmpl w:val="C2A01FFA"/>
    <w:lvl w:ilvl="0" w:tplc="22B85DEA">
      <w:start w:val="1"/>
      <w:numFmt w:val="decimal"/>
      <w:lvlText w:val="%1."/>
      <w:lvlJc w:val="left"/>
      <w:pPr>
        <w:ind w:left="6598"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6A02323"/>
    <w:multiLevelType w:val="multilevel"/>
    <w:tmpl w:val="1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FA7C1C"/>
    <w:multiLevelType w:val="multilevel"/>
    <w:tmpl w:val="3C4A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B04D29"/>
    <w:multiLevelType w:val="multilevel"/>
    <w:tmpl w:val="C2A8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C03656"/>
    <w:multiLevelType w:val="hybridMultilevel"/>
    <w:tmpl w:val="A350D342"/>
    <w:lvl w:ilvl="0" w:tplc="0C0A0013">
      <w:start w:val="1"/>
      <w:numFmt w:val="upperRoman"/>
      <w:lvlText w:val="%1."/>
      <w:lvlJc w:val="right"/>
      <w:pPr>
        <w:ind w:left="1422" w:hanging="360"/>
      </w:pPr>
    </w:lvl>
    <w:lvl w:ilvl="1" w:tplc="040A0019" w:tentative="1">
      <w:start w:val="1"/>
      <w:numFmt w:val="lowerLetter"/>
      <w:lvlText w:val="%2."/>
      <w:lvlJc w:val="left"/>
      <w:pPr>
        <w:ind w:left="2142" w:hanging="360"/>
      </w:pPr>
    </w:lvl>
    <w:lvl w:ilvl="2" w:tplc="040A001B" w:tentative="1">
      <w:start w:val="1"/>
      <w:numFmt w:val="lowerRoman"/>
      <w:lvlText w:val="%3."/>
      <w:lvlJc w:val="right"/>
      <w:pPr>
        <w:ind w:left="2862" w:hanging="180"/>
      </w:pPr>
    </w:lvl>
    <w:lvl w:ilvl="3" w:tplc="040A000F" w:tentative="1">
      <w:start w:val="1"/>
      <w:numFmt w:val="decimal"/>
      <w:lvlText w:val="%4."/>
      <w:lvlJc w:val="left"/>
      <w:pPr>
        <w:ind w:left="3582" w:hanging="360"/>
      </w:pPr>
    </w:lvl>
    <w:lvl w:ilvl="4" w:tplc="040A0019" w:tentative="1">
      <w:start w:val="1"/>
      <w:numFmt w:val="lowerLetter"/>
      <w:lvlText w:val="%5."/>
      <w:lvlJc w:val="left"/>
      <w:pPr>
        <w:ind w:left="4302" w:hanging="360"/>
      </w:pPr>
    </w:lvl>
    <w:lvl w:ilvl="5" w:tplc="040A001B" w:tentative="1">
      <w:start w:val="1"/>
      <w:numFmt w:val="lowerRoman"/>
      <w:lvlText w:val="%6."/>
      <w:lvlJc w:val="right"/>
      <w:pPr>
        <w:ind w:left="5022" w:hanging="180"/>
      </w:pPr>
    </w:lvl>
    <w:lvl w:ilvl="6" w:tplc="040A000F" w:tentative="1">
      <w:start w:val="1"/>
      <w:numFmt w:val="decimal"/>
      <w:lvlText w:val="%7."/>
      <w:lvlJc w:val="left"/>
      <w:pPr>
        <w:ind w:left="5742" w:hanging="360"/>
      </w:pPr>
    </w:lvl>
    <w:lvl w:ilvl="7" w:tplc="040A0019" w:tentative="1">
      <w:start w:val="1"/>
      <w:numFmt w:val="lowerLetter"/>
      <w:lvlText w:val="%8."/>
      <w:lvlJc w:val="left"/>
      <w:pPr>
        <w:ind w:left="6462" w:hanging="360"/>
      </w:pPr>
    </w:lvl>
    <w:lvl w:ilvl="8" w:tplc="040A001B" w:tentative="1">
      <w:start w:val="1"/>
      <w:numFmt w:val="lowerRoman"/>
      <w:lvlText w:val="%9."/>
      <w:lvlJc w:val="right"/>
      <w:pPr>
        <w:ind w:left="7182" w:hanging="180"/>
      </w:pPr>
    </w:lvl>
  </w:abstractNum>
  <w:abstractNum w:abstractNumId="10" w15:restartNumberingAfterBreak="0">
    <w:nsid w:val="64F42210"/>
    <w:multiLevelType w:val="multilevel"/>
    <w:tmpl w:val="F2E4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F57848"/>
    <w:multiLevelType w:val="multilevel"/>
    <w:tmpl w:val="6ED6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0"/>
  </w:num>
  <w:num w:numId="4">
    <w:abstractNumId w:val="1"/>
  </w:num>
  <w:num w:numId="5">
    <w:abstractNumId w:val="11"/>
  </w:num>
  <w:num w:numId="6">
    <w:abstractNumId w:val="5"/>
  </w:num>
  <w:num w:numId="7">
    <w:abstractNumId w:val="0"/>
  </w:num>
  <w:num w:numId="8">
    <w:abstractNumId w:val="2"/>
  </w:num>
  <w:num w:numId="9">
    <w:abstractNumId w:val="3"/>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CE"/>
    <w:rsid w:val="000104B4"/>
    <w:rsid w:val="00011782"/>
    <w:rsid w:val="000159F0"/>
    <w:rsid w:val="000255AB"/>
    <w:rsid w:val="00031068"/>
    <w:rsid w:val="00037787"/>
    <w:rsid w:val="00042B29"/>
    <w:rsid w:val="0005173C"/>
    <w:rsid w:val="0005382A"/>
    <w:rsid w:val="0005510E"/>
    <w:rsid w:val="00056F59"/>
    <w:rsid w:val="000574AE"/>
    <w:rsid w:val="00070183"/>
    <w:rsid w:val="000709F9"/>
    <w:rsid w:val="000724CA"/>
    <w:rsid w:val="00076CF0"/>
    <w:rsid w:val="000776AC"/>
    <w:rsid w:val="000777DC"/>
    <w:rsid w:val="00081A13"/>
    <w:rsid w:val="00081C28"/>
    <w:rsid w:val="000840E6"/>
    <w:rsid w:val="00086F35"/>
    <w:rsid w:val="00087E67"/>
    <w:rsid w:val="00091DF4"/>
    <w:rsid w:val="000A3579"/>
    <w:rsid w:val="000B0D8C"/>
    <w:rsid w:val="000D2349"/>
    <w:rsid w:val="000D5A37"/>
    <w:rsid w:val="000D6BE2"/>
    <w:rsid w:val="000E365B"/>
    <w:rsid w:val="001163D4"/>
    <w:rsid w:val="00116912"/>
    <w:rsid w:val="00127596"/>
    <w:rsid w:val="00136A81"/>
    <w:rsid w:val="001545AB"/>
    <w:rsid w:val="0016060C"/>
    <w:rsid w:val="001726E5"/>
    <w:rsid w:val="00176524"/>
    <w:rsid w:val="001824B0"/>
    <w:rsid w:val="0018466A"/>
    <w:rsid w:val="00187899"/>
    <w:rsid w:val="00193D8C"/>
    <w:rsid w:val="001A16D3"/>
    <w:rsid w:val="001B3689"/>
    <w:rsid w:val="001B6F86"/>
    <w:rsid w:val="001C09E2"/>
    <w:rsid w:val="001D18D7"/>
    <w:rsid w:val="001D1B9D"/>
    <w:rsid w:val="001D29F7"/>
    <w:rsid w:val="001D62DC"/>
    <w:rsid w:val="001E6D15"/>
    <w:rsid w:val="001E7C89"/>
    <w:rsid w:val="001F04BD"/>
    <w:rsid w:val="001F1156"/>
    <w:rsid w:val="001F5DFD"/>
    <w:rsid w:val="00203C2F"/>
    <w:rsid w:val="00214E49"/>
    <w:rsid w:val="00224D00"/>
    <w:rsid w:val="00234398"/>
    <w:rsid w:val="002401B1"/>
    <w:rsid w:val="002404FA"/>
    <w:rsid w:val="00246BC7"/>
    <w:rsid w:val="00247EE8"/>
    <w:rsid w:val="002519F8"/>
    <w:rsid w:val="00253F20"/>
    <w:rsid w:val="00254D36"/>
    <w:rsid w:val="002568B6"/>
    <w:rsid w:val="002617FF"/>
    <w:rsid w:val="0026598C"/>
    <w:rsid w:val="00267FF9"/>
    <w:rsid w:val="00273A60"/>
    <w:rsid w:val="00287B97"/>
    <w:rsid w:val="00296732"/>
    <w:rsid w:val="002A230A"/>
    <w:rsid w:val="002A2E93"/>
    <w:rsid w:val="002A3AAE"/>
    <w:rsid w:val="002B1298"/>
    <w:rsid w:val="002B2DF8"/>
    <w:rsid w:val="002B398F"/>
    <w:rsid w:val="002B6AED"/>
    <w:rsid w:val="002C3443"/>
    <w:rsid w:val="002C42E2"/>
    <w:rsid w:val="002D1675"/>
    <w:rsid w:val="002D3C4C"/>
    <w:rsid w:val="002D57EC"/>
    <w:rsid w:val="002D6A44"/>
    <w:rsid w:val="002E0CE1"/>
    <w:rsid w:val="002E17BC"/>
    <w:rsid w:val="002E31C5"/>
    <w:rsid w:val="002F59F3"/>
    <w:rsid w:val="002F76E8"/>
    <w:rsid w:val="0031392D"/>
    <w:rsid w:val="00314130"/>
    <w:rsid w:val="003151DC"/>
    <w:rsid w:val="00315884"/>
    <w:rsid w:val="00323A13"/>
    <w:rsid w:val="003312D4"/>
    <w:rsid w:val="00342375"/>
    <w:rsid w:val="0034246E"/>
    <w:rsid w:val="00343D5A"/>
    <w:rsid w:val="0035009E"/>
    <w:rsid w:val="00350F23"/>
    <w:rsid w:val="00355546"/>
    <w:rsid w:val="00362F86"/>
    <w:rsid w:val="003706BA"/>
    <w:rsid w:val="00370C1D"/>
    <w:rsid w:val="00376C22"/>
    <w:rsid w:val="00384F0D"/>
    <w:rsid w:val="00391973"/>
    <w:rsid w:val="0039556E"/>
    <w:rsid w:val="00397875"/>
    <w:rsid w:val="00397F63"/>
    <w:rsid w:val="003A500C"/>
    <w:rsid w:val="003A6D55"/>
    <w:rsid w:val="003A7AAC"/>
    <w:rsid w:val="003B27DD"/>
    <w:rsid w:val="003C7C29"/>
    <w:rsid w:val="003D7617"/>
    <w:rsid w:val="003E0D2E"/>
    <w:rsid w:val="003E2B46"/>
    <w:rsid w:val="003F3BD9"/>
    <w:rsid w:val="00400E32"/>
    <w:rsid w:val="0040131B"/>
    <w:rsid w:val="00407B05"/>
    <w:rsid w:val="0041285B"/>
    <w:rsid w:val="00413487"/>
    <w:rsid w:val="00422E59"/>
    <w:rsid w:val="004359EB"/>
    <w:rsid w:val="00441BAD"/>
    <w:rsid w:val="00442B3D"/>
    <w:rsid w:val="00461076"/>
    <w:rsid w:val="0047007D"/>
    <w:rsid w:val="00471AAD"/>
    <w:rsid w:val="00471AD1"/>
    <w:rsid w:val="0047487D"/>
    <w:rsid w:val="00477149"/>
    <w:rsid w:val="0047749D"/>
    <w:rsid w:val="004776DC"/>
    <w:rsid w:val="00477AF8"/>
    <w:rsid w:val="00481D1C"/>
    <w:rsid w:val="0048263B"/>
    <w:rsid w:val="004870A2"/>
    <w:rsid w:val="00497EFC"/>
    <w:rsid w:val="004A032A"/>
    <w:rsid w:val="004A1232"/>
    <w:rsid w:val="004A23FB"/>
    <w:rsid w:val="004A54F7"/>
    <w:rsid w:val="004B157A"/>
    <w:rsid w:val="004C2495"/>
    <w:rsid w:val="004C47DB"/>
    <w:rsid w:val="004C6FFE"/>
    <w:rsid w:val="004D3187"/>
    <w:rsid w:val="004E5334"/>
    <w:rsid w:val="004F456B"/>
    <w:rsid w:val="004F530F"/>
    <w:rsid w:val="00504650"/>
    <w:rsid w:val="00517B39"/>
    <w:rsid w:val="00517D02"/>
    <w:rsid w:val="00522A6B"/>
    <w:rsid w:val="005303C1"/>
    <w:rsid w:val="00534F1D"/>
    <w:rsid w:val="0054229F"/>
    <w:rsid w:val="00546A81"/>
    <w:rsid w:val="005560E9"/>
    <w:rsid w:val="00563984"/>
    <w:rsid w:val="00565E59"/>
    <w:rsid w:val="0056682F"/>
    <w:rsid w:val="00575BD8"/>
    <w:rsid w:val="00575D94"/>
    <w:rsid w:val="005761AE"/>
    <w:rsid w:val="0057648B"/>
    <w:rsid w:val="00576630"/>
    <w:rsid w:val="00581AEF"/>
    <w:rsid w:val="00592D8D"/>
    <w:rsid w:val="005A32FF"/>
    <w:rsid w:val="005A6705"/>
    <w:rsid w:val="005B1389"/>
    <w:rsid w:val="005B3B4D"/>
    <w:rsid w:val="005B584B"/>
    <w:rsid w:val="005B7522"/>
    <w:rsid w:val="005D3359"/>
    <w:rsid w:val="005D6B7F"/>
    <w:rsid w:val="005E53F8"/>
    <w:rsid w:val="005E7DC2"/>
    <w:rsid w:val="005F1953"/>
    <w:rsid w:val="00602928"/>
    <w:rsid w:val="00604B74"/>
    <w:rsid w:val="00620D23"/>
    <w:rsid w:val="00622DB5"/>
    <w:rsid w:val="00627F95"/>
    <w:rsid w:val="00634EBF"/>
    <w:rsid w:val="0064752C"/>
    <w:rsid w:val="006506CB"/>
    <w:rsid w:val="006646C3"/>
    <w:rsid w:val="006735B9"/>
    <w:rsid w:val="0067772F"/>
    <w:rsid w:val="00684EB3"/>
    <w:rsid w:val="00692271"/>
    <w:rsid w:val="0069286D"/>
    <w:rsid w:val="00696BBD"/>
    <w:rsid w:val="006A2084"/>
    <w:rsid w:val="006A4BFE"/>
    <w:rsid w:val="006B3390"/>
    <w:rsid w:val="006C0C6A"/>
    <w:rsid w:val="006C3EDA"/>
    <w:rsid w:val="006C6C4F"/>
    <w:rsid w:val="006D4941"/>
    <w:rsid w:val="006D4C13"/>
    <w:rsid w:val="006D5C52"/>
    <w:rsid w:val="006D74B8"/>
    <w:rsid w:val="006E2974"/>
    <w:rsid w:val="006E46B0"/>
    <w:rsid w:val="006F4267"/>
    <w:rsid w:val="00704ECE"/>
    <w:rsid w:val="007137E4"/>
    <w:rsid w:val="0071557F"/>
    <w:rsid w:val="0072050E"/>
    <w:rsid w:val="007248B2"/>
    <w:rsid w:val="0073136E"/>
    <w:rsid w:val="007419D8"/>
    <w:rsid w:val="00741F04"/>
    <w:rsid w:val="00743459"/>
    <w:rsid w:val="007438B5"/>
    <w:rsid w:val="00744B48"/>
    <w:rsid w:val="0074770A"/>
    <w:rsid w:val="0075112E"/>
    <w:rsid w:val="007520D7"/>
    <w:rsid w:val="007703D1"/>
    <w:rsid w:val="00773EE8"/>
    <w:rsid w:val="007742DC"/>
    <w:rsid w:val="00774773"/>
    <w:rsid w:val="00784C4F"/>
    <w:rsid w:val="00793ECB"/>
    <w:rsid w:val="007A0C5C"/>
    <w:rsid w:val="007A278B"/>
    <w:rsid w:val="007A7A01"/>
    <w:rsid w:val="007B1358"/>
    <w:rsid w:val="007B356D"/>
    <w:rsid w:val="007D4A48"/>
    <w:rsid w:val="007D6AF4"/>
    <w:rsid w:val="007E0868"/>
    <w:rsid w:val="007E3B74"/>
    <w:rsid w:val="007E502E"/>
    <w:rsid w:val="007E5E5C"/>
    <w:rsid w:val="007E7AD2"/>
    <w:rsid w:val="007F53B1"/>
    <w:rsid w:val="0080362F"/>
    <w:rsid w:val="00803BBF"/>
    <w:rsid w:val="00811545"/>
    <w:rsid w:val="00820575"/>
    <w:rsid w:val="008217FE"/>
    <w:rsid w:val="00825FC0"/>
    <w:rsid w:val="00827722"/>
    <w:rsid w:val="00833A79"/>
    <w:rsid w:val="00851E2D"/>
    <w:rsid w:val="00854897"/>
    <w:rsid w:val="008571A6"/>
    <w:rsid w:val="00860C3B"/>
    <w:rsid w:val="008626E8"/>
    <w:rsid w:val="0086287B"/>
    <w:rsid w:val="00864FF0"/>
    <w:rsid w:val="00872BCD"/>
    <w:rsid w:val="00875623"/>
    <w:rsid w:val="00875F09"/>
    <w:rsid w:val="008775A3"/>
    <w:rsid w:val="00877FCE"/>
    <w:rsid w:val="008822BE"/>
    <w:rsid w:val="008823AD"/>
    <w:rsid w:val="0088595A"/>
    <w:rsid w:val="00886558"/>
    <w:rsid w:val="00890F89"/>
    <w:rsid w:val="00892C73"/>
    <w:rsid w:val="008A4B63"/>
    <w:rsid w:val="008A6CF2"/>
    <w:rsid w:val="008B1BB1"/>
    <w:rsid w:val="008B5E42"/>
    <w:rsid w:val="008B7BC4"/>
    <w:rsid w:val="008C005B"/>
    <w:rsid w:val="008C18A9"/>
    <w:rsid w:val="008C5253"/>
    <w:rsid w:val="008D0FD6"/>
    <w:rsid w:val="008E51A1"/>
    <w:rsid w:val="00902DD4"/>
    <w:rsid w:val="00910D40"/>
    <w:rsid w:val="009128EF"/>
    <w:rsid w:val="00931F7F"/>
    <w:rsid w:val="00932DEE"/>
    <w:rsid w:val="00936AED"/>
    <w:rsid w:val="00936F63"/>
    <w:rsid w:val="00941CEA"/>
    <w:rsid w:val="00950798"/>
    <w:rsid w:val="0096021A"/>
    <w:rsid w:val="009716C1"/>
    <w:rsid w:val="009725A6"/>
    <w:rsid w:val="00975033"/>
    <w:rsid w:val="00975618"/>
    <w:rsid w:val="0097641D"/>
    <w:rsid w:val="00993307"/>
    <w:rsid w:val="00993B1C"/>
    <w:rsid w:val="009A0F1A"/>
    <w:rsid w:val="009A6187"/>
    <w:rsid w:val="009B1824"/>
    <w:rsid w:val="009B70AB"/>
    <w:rsid w:val="009C2E77"/>
    <w:rsid w:val="009C3A11"/>
    <w:rsid w:val="009C3B4D"/>
    <w:rsid w:val="009C5369"/>
    <w:rsid w:val="009D0AD7"/>
    <w:rsid w:val="009E1CB5"/>
    <w:rsid w:val="009E52B2"/>
    <w:rsid w:val="009F1AB5"/>
    <w:rsid w:val="009F6D6F"/>
    <w:rsid w:val="00A042DD"/>
    <w:rsid w:val="00A104E5"/>
    <w:rsid w:val="00A126A8"/>
    <w:rsid w:val="00A162C4"/>
    <w:rsid w:val="00A2615A"/>
    <w:rsid w:val="00A264CB"/>
    <w:rsid w:val="00A356C3"/>
    <w:rsid w:val="00A417C6"/>
    <w:rsid w:val="00A424AF"/>
    <w:rsid w:val="00A450E3"/>
    <w:rsid w:val="00A45FB1"/>
    <w:rsid w:val="00A50B19"/>
    <w:rsid w:val="00A51429"/>
    <w:rsid w:val="00A634E4"/>
    <w:rsid w:val="00A807D0"/>
    <w:rsid w:val="00A83264"/>
    <w:rsid w:val="00A85622"/>
    <w:rsid w:val="00A86F90"/>
    <w:rsid w:val="00A94873"/>
    <w:rsid w:val="00A94FAC"/>
    <w:rsid w:val="00AA6BAE"/>
    <w:rsid w:val="00AA7321"/>
    <w:rsid w:val="00AA7517"/>
    <w:rsid w:val="00AB1AA0"/>
    <w:rsid w:val="00AC3B8A"/>
    <w:rsid w:val="00AC6D11"/>
    <w:rsid w:val="00AD32A5"/>
    <w:rsid w:val="00AE21FD"/>
    <w:rsid w:val="00AE4789"/>
    <w:rsid w:val="00AE4B3F"/>
    <w:rsid w:val="00AE56A0"/>
    <w:rsid w:val="00AE5B4E"/>
    <w:rsid w:val="00AE6320"/>
    <w:rsid w:val="00AF10B4"/>
    <w:rsid w:val="00AF6C0F"/>
    <w:rsid w:val="00AF7C1C"/>
    <w:rsid w:val="00B01EAC"/>
    <w:rsid w:val="00B0270E"/>
    <w:rsid w:val="00B122D0"/>
    <w:rsid w:val="00B232A8"/>
    <w:rsid w:val="00B327FA"/>
    <w:rsid w:val="00B46ECF"/>
    <w:rsid w:val="00B523EF"/>
    <w:rsid w:val="00B54151"/>
    <w:rsid w:val="00B54475"/>
    <w:rsid w:val="00B64F78"/>
    <w:rsid w:val="00B77177"/>
    <w:rsid w:val="00B82684"/>
    <w:rsid w:val="00B83486"/>
    <w:rsid w:val="00B96D4B"/>
    <w:rsid w:val="00B9727D"/>
    <w:rsid w:val="00BB023A"/>
    <w:rsid w:val="00BB0BE3"/>
    <w:rsid w:val="00BB1809"/>
    <w:rsid w:val="00BB5D5A"/>
    <w:rsid w:val="00BC2364"/>
    <w:rsid w:val="00BC5CBE"/>
    <w:rsid w:val="00BD1C35"/>
    <w:rsid w:val="00BD2159"/>
    <w:rsid w:val="00BD6CFA"/>
    <w:rsid w:val="00BE09DD"/>
    <w:rsid w:val="00BE5356"/>
    <w:rsid w:val="00BF0E6A"/>
    <w:rsid w:val="00C004ED"/>
    <w:rsid w:val="00C05A39"/>
    <w:rsid w:val="00C25E12"/>
    <w:rsid w:val="00C330C9"/>
    <w:rsid w:val="00C353C7"/>
    <w:rsid w:val="00C420A9"/>
    <w:rsid w:val="00C453DB"/>
    <w:rsid w:val="00C51EDB"/>
    <w:rsid w:val="00C562A5"/>
    <w:rsid w:val="00C567ED"/>
    <w:rsid w:val="00C803B1"/>
    <w:rsid w:val="00C82C9E"/>
    <w:rsid w:val="00C833AE"/>
    <w:rsid w:val="00C84679"/>
    <w:rsid w:val="00C97AA7"/>
    <w:rsid w:val="00CA17EF"/>
    <w:rsid w:val="00CA7435"/>
    <w:rsid w:val="00CB2F26"/>
    <w:rsid w:val="00CB3134"/>
    <w:rsid w:val="00CB6EE5"/>
    <w:rsid w:val="00CC50BB"/>
    <w:rsid w:val="00CC5C59"/>
    <w:rsid w:val="00CC660F"/>
    <w:rsid w:val="00CD2114"/>
    <w:rsid w:val="00CD59C3"/>
    <w:rsid w:val="00CE1414"/>
    <w:rsid w:val="00CE28CF"/>
    <w:rsid w:val="00CF0FFF"/>
    <w:rsid w:val="00CF2DAB"/>
    <w:rsid w:val="00CF347B"/>
    <w:rsid w:val="00CF5867"/>
    <w:rsid w:val="00D011EB"/>
    <w:rsid w:val="00D045FB"/>
    <w:rsid w:val="00D265AC"/>
    <w:rsid w:val="00D27E20"/>
    <w:rsid w:val="00D30470"/>
    <w:rsid w:val="00D341CB"/>
    <w:rsid w:val="00D3551E"/>
    <w:rsid w:val="00D42CC8"/>
    <w:rsid w:val="00D445C8"/>
    <w:rsid w:val="00D53132"/>
    <w:rsid w:val="00D53339"/>
    <w:rsid w:val="00D5747B"/>
    <w:rsid w:val="00D57E7B"/>
    <w:rsid w:val="00D646CD"/>
    <w:rsid w:val="00D706A2"/>
    <w:rsid w:val="00D83756"/>
    <w:rsid w:val="00D8481F"/>
    <w:rsid w:val="00D8626D"/>
    <w:rsid w:val="00D9067F"/>
    <w:rsid w:val="00D95300"/>
    <w:rsid w:val="00DA3DEF"/>
    <w:rsid w:val="00DB30FE"/>
    <w:rsid w:val="00DC0C98"/>
    <w:rsid w:val="00DC43A1"/>
    <w:rsid w:val="00DE0925"/>
    <w:rsid w:val="00DE2EE5"/>
    <w:rsid w:val="00DE3A96"/>
    <w:rsid w:val="00DE560B"/>
    <w:rsid w:val="00DF1D5E"/>
    <w:rsid w:val="00DF2B07"/>
    <w:rsid w:val="00E00306"/>
    <w:rsid w:val="00E1741E"/>
    <w:rsid w:val="00E442D0"/>
    <w:rsid w:val="00E454EC"/>
    <w:rsid w:val="00E467BE"/>
    <w:rsid w:val="00E51577"/>
    <w:rsid w:val="00E52775"/>
    <w:rsid w:val="00E53D75"/>
    <w:rsid w:val="00E623E0"/>
    <w:rsid w:val="00E63DD7"/>
    <w:rsid w:val="00E66BA4"/>
    <w:rsid w:val="00E87035"/>
    <w:rsid w:val="00E8760C"/>
    <w:rsid w:val="00E91FB4"/>
    <w:rsid w:val="00E96053"/>
    <w:rsid w:val="00EA39D5"/>
    <w:rsid w:val="00EA67D4"/>
    <w:rsid w:val="00EA795F"/>
    <w:rsid w:val="00EB60A2"/>
    <w:rsid w:val="00EB6610"/>
    <w:rsid w:val="00EC3A5E"/>
    <w:rsid w:val="00EC56F9"/>
    <w:rsid w:val="00EE130A"/>
    <w:rsid w:val="00EE3E75"/>
    <w:rsid w:val="00EF520D"/>
    <w:rsid w:val="00EF724A"/>
    <w:rsid w:val="00F131BB"/>
    <w:rsid w:val="00F13505"/>
    <w:rsid w:val="00F22EA7"/>
    <w:rsid w:val="00F24E5A"/>
    <w:rsid w:val="00F2736E"/>
    <w:rsid w:val="00F32F35"/>
    <w:rsid w:val="00F33BB4"/>
    <w:rsid w:val="00F36B71"/>
    <w:rsid w:val="00F43D17"/>
    <w:rsid w:val="00F46362"/>
    <w:rsid w:val="00F5136B"/>
    <w:rsid w:val="00F5557A"/>
    <w:rsid w:val="00F671C5"/>
    <w:rsid w:val="00F70DBE"/>
    <w:rsid w:val="00F70F8F"/>
    <w:rsid w:val="00F81AEF"/>
    <w:rsid w:val="00F86784"/>
    <w:rsid w:val="00FA04F5"/>
    <w:rsid w:val="00FA2F7D"/>
    <w:rsid w:val="00FA4016"/>
    <w:rsid w:val="00FA4DF8"/>
    <w:rsid w:val="00FB1C72"/>
    <w:rsid w:val="00FC2501"/>
    <w:rsid w:val="00FD24A6"/>
    <w:rsid w:val="00FE17AA"/>
    <w:rsid w:val="00FE37EB"/>
    <w:rsid w:val="00FE4217"/>
    <w:rsid w:val="00FE6831"/>
    <w:rsid w:val="00FE6879"/>
    <w:rsid w:val="00FF4D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D54A"/>
  <w14:defaultImageDpi w14:val="32767"/>
  <w15:chartTrackingRefBased/>
  <w15:docId w15:val="{893F8E88-8BD3-594C-8CDD-A210DA9F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11"/>
    <w:rPr>
      <w:rFonts w:ascii="Times New Roman" w:eastAsia="Times New Roman" w:hAnsi="Times New Roman" w:cs="Times New Roman"/>
      <w:lang w:val="en-US"/>
    </w:rPr>
  </w:style>
  <w:style w:type="paragraph" w:styleId="Ttulo3">
    <w:name w:val="heading 3"/>
    <w:basedOn w:val="Normal"/>
    <w:link w:val="Ttulo3Car"/>
    <w:uiPriority w:val="9"/>
    <w:qFormat/>
    <w:rsid w:val="00AA6BAE"/>
    <w:pPr>
      <w:spacing w:before="100" w:beforeAutospacing="1" w:after="100" w:afterAutospacing="1"/>
      <w:outlineLvl w:val="2"/>
    </w:pPr>
    <w:rPr>
      <w:b/>
      <w:bCs/>
      <w:sz w:val="27"/>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62A5"/>
    <w:rPr>
      <w:sz w:val="18"/>
      <w:szCs w:val="18"/>
      <w:lang w:val="es-ES" w:eastAsia="es-ES_tradnl"/>
    </w:rPr>
  </w:style>
  <w:style w:type="character" w:customStyle="1" w:styleId="TextodegloboCar">
    <w:name w:val="Texto de globo Car"/>
    <w:basedOn w:val="Fuentedeprrafopredeter"/>
    <w:link w:val="Textodeglobo"/>
    <w:uiPriority w:val="99"/>
    <w:semiHidden/>
    <w:rsid w:val="00C562A5"/>
    <w:rPr>
      <w:rFonts w:ascii="Times New Roman" w:hAnsi="Times New Roman" w:cs="Times New Roman"/>
      <w:sz w:val="18"/>
      <w:szCs w:val="18"/>
    </w:rPr>
  </w:style>
  <w:style w:type="paragraph" w:styleId="NormalWeb">
    <w:name w:val="Normal (Web)"/>
    <w:aliases w:val="Normal (Web) Char1,Normal (Web) Char Char,Normal (Web) Char1 Char,Normal (Web) Char Char Char"/>
    <w:basedOn w:val="Normal"/>
    <w:uiPriority w:val="99"/>
    <w:unhideWhenUsed/>
    <w:rsid w:val="0026598C"/>
    <w:pPr>
      <w:spacing w:before="100" w:beforeAutospacing="1" w:after="100" w:afterAutospacing="1"/>
    </w:pPr>
    <w:rPr>
      <w:lang w:val="es-ES" w:eastAsia="es-ES_tradnl"/>
    </w:rPr>
  </w:style>
  <w:style w:type="character" w:styleId="Textoennegrita">
    <w:name w:val="Strong"/>
    <w:aliases w:val="Heading 2.1"/>
    <w:basedOn w:val="Fuentedeprrafopredeter"/>
    <w:uiPriority w:val="22"/>
    <w:qFormat/>
    <w:rsid w:val="00AA6BAE"/>
    <w:rPr>
      <w:b/>
      <w:bCs/>
    </w:rPr>
  </w:style>
  <w:style w:type="character" w:styleId="nfasis">
    <w:name w:val="Emphasis"/>
    <w:basedOn w:val="Fuentedeprrafopredeter"/>
    <w:uiPriority w:val="20"/>
    <w:qFormat/>
    <w:rsid w:val="00AA6BAE"/>
    <w:rPr>
      <w:i/>
      <w:iCs/>
    </w:rPr>
  </w:style>
  <w:style w:type="character" w:styleId="Hipervnculo">
    <w:name w:val="Hyperlink"/>
    <w:basedOn w:val="Fuentedeprrafopredeter"/>
    <w:uiPriority w:val="99"/>
    <w:unhideWhenUsed/>
    <w:rsid w:val="00AA6BAE"/>
    <w:rPr>
      <w:color w:val="0563C1" w:themeColor="hyperlink"/>
      <w:u w:val="single"/>
    </w:rPr>
  </w:style>
  <w:style w:type="character" w:customStyle="1" w:styleId="Mencinsinresolver1">
    <w:name w:val="Mención sin resolver1"/>
    <w:basedOn w:val="Fuentedeprrafopredeter"/>
    <w:uiPriority w:val="99"/>
    <w:rsid w:val="00AA6BAE"/>
    <w:rPr>
      <w:color w:val="605E5C"/>
      <w:shd w:val="clear" w:color="auto" w:fill="E1DFDD"/>
    </w:rPr>
  </w:style>
  <w:style w:type="character" w:customStyle="1" w:styleId="Ttulo3Car">
    <w:name w:val="Título 3 Car"/>
    <w:basedOn w:val="Fuentedeprrafopredeter"/>
    <w:link w:val="Ttulo3"/>
    <w:uiPriority w:val="9"/>
    <w:rsid w:val="00AA6BAE"/>
    <w:rPr>
      <w:rFonts w:ascii="Times New Roman" w:eastAsia="Times New Roman" w:hAnsi="Times New Roman" w:cs="Times New Roman"/>
      <w:b/>
      <w:bCs/>
      <w:sz w:val="27"/>
      <w:szCs w:val="27"/>
      <w:lang w:val="es-ES" w:eastAsia="es-ES_tradnl"/>
    </w:rPr>
  </w:style>
  <w:style w:type="character" w:customStyle="1" w:styleId="apple-converted-space">
    <w:name w:val="apple-converted-space"/>
    <w:basedOn w:val="Fuentedeprrafopredeter"/>
    <w:rsid w:val="00AA6BAE"/>
  </w:style>
  <w:style w:type="character" w:styleId="Hipervnculovisitado">
    <w:name w:val="FollowedHyperlink"/>
    <w:basedOn w:val="Fuentedeprrafopredeter"/>
    <w:uiPriority w:val="99"/>
    <w:semiHidden/>
    <w:unhideWhenUsed/>
    <w:rsid w:val="00AA6BAE"/>
    <w:rPr>
      <w:color w:val="954F72" w:themeColor="followedHyperlink"/>
      <w:u w:val="single"/>
    </w:rPr>
  </w:style>
  <w:style w:type="character" w:customStyle="1" w:styleId="highlight">
    <w:name w:val="highlight"/>
    <w:basedOn w:val="Fuentedeprrafopredeter"/>
    <w:rsid w:val="003D7617"/>
  </w:style>
  <w:style w:type="paragraph" w:styleId="Textonotapie">
    <w:name w:val="footnote text"/>
    <w:aliases w:val="Footnote Text Char Char Char Char Char,Footnote Text Char Char Char Char,footnote text,Footnote reference,FA Fu,Footnote Text Char Char Char,Footnote Text Cha,FA Fußnotentext,FA Fuﬂnotentext,Footnote Text Char Char,Ca,C,FA Fu?notente,ft,5"/>
    <w:basedOn w:val="Normal"/>
    <w:link w:val="TextonotapieCar"/>
    <w:unhideWhenUsed/>
    <w:qFormat/>
    <w:rsid w:val="007A7A01"/>
    <w:rPr>
      <w:sz w:val="20"/>
      <w:szCs w:val="20"/>
      <w:lang w:val="es-ES" w:eastAsia="es-ES_tradnl"/>
    </w:rPr>
  </w:style>
  <w:style w:type="character" w:customStyle="1" w:styleId="TextonotapieCar">
    <w:name w:val="Texto nota pie Car"/>
    <w:aliases w:val="Footnote Text Char Char Char Char Char Car,Footnote Text Char Char Char Char Car,footnote text Car,Footnote reference Car,FA Fu Car,Footnote Text Char Char Char Car,Footnote Text Cha Car,FA Fußnotentext Car,FA Fuﬂnotentext Car,Ca Car"/>
    <w:basedOn w:val="Fuentedeprrafopredeter"/>
    <w:link w:val="Textonotapie"/>
    <w:qFormat/>
    <w:rsid w:val="007A7A01"/>
    <w:rPr>
      <w:sz w:val="20"/>
      <w:szCs w:val="20"/>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Footnote Reference Char3"/>
    <w:basedOn w:val="Fuentedeprrafopredeter"/>
    <w:link w:val="4GChar"/>
    <w:uiPriority w:val="99"/>
    <w:unhideWhenUsed/>
    <w:qFormat/>
    <w:rsid w:val="007A7A01"/>
    <w:rPr>
      <w:vertAlign w:val="superscript"/>
    </w:rPr>
  </w:style>
  <w:style w:type="paragraph" w:styleId="Prrafodelista">
    <w:name w:val="List Paragraph"/>
    <w:aliases w:val="List Paragraph2,Párrafo de lista1,List Paragraph1,Colorful List - Accent 11,Lista vistosa - Énfasis 11,Subtle Emphasis1,Footnote1"/>
    <w:basedOn w:val="Normal"/>
    <w:link w:val="PrrafodelistaCar"/>
    <w:uiPriority w:val="99"/>
    <w:qFormat/>
    <w:rsid w:val="00D5747B"/>
    <w:pPr>
      <w:spacing w:after="200" w:line="276" w:lineRule="auto"/>
      <w:ind w:left="720"/>
      <w:contextualSpacing/>
    </w:pPr>
    <w:rPr>
      <w:sz w:val="22"/>
      <w:szCs w:val="22"/>
      <w:lang w:val="es-CO" w:eastAsia="es-ES_tradnl"/>
    </w:rPr>
  </w:style>
  <w:style w:type="character" w:customStyle="1" w:styleId="PrrafodelistaCar">
    <w:name w:val="Párrafo de lista Car"/>
    <w:aliases w:val="List Paragraph2 Car,Párrafo de lista1 Car,List Paragraph1 Car,Colorful List - Accent 11 Car,Lista vistosa - Énfasis 11 Car,Subtle Emphasis1 Car,Footnote1 Car"/>
    <w:link w:val="Prrafodelista"/>
    <w:uiPriority w:val="99"/>
    <w:locked/>
    <w:rsid w:val="00D5747B"/>
    <w:rPr>
      <w:sz w:val="22"/>
      <w:szCs w:val="22"/>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5747B"/>
    <w:pPr>
      <w:jc w:val="both"/>
    </w:pPr>
    <w:rPr>
      <w:vertAlign w:val="superscript"/>
      <w:lang w:val="es-ES" w:eastAsia="es-ES_tradnl"/>
    </w:rPr>
  </w:style>
  <w:style w:type="paragraph" w:styleId="HTMLconformatoprevio">
    <w:name w:val="HTML Preformatted"/>
    <w:basedOn w:val="Normal"/>
    <w:link w:val="HTMLconformatoprevioCar"/>
    <w:uiPriority w:val="99"/>
    <w:semiHidden/>
    <w:unhideWhenUsed/>
    <w:rsid w:val="00D5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D53132"/>
    <w:rPr>
      <w:rFonts w:ascii="Courier New" w:eastAsia="Times New Roman" w:hAnsi="Courier New" w:cs="Courier New"/>
      <w:sz w:val="20"/>
      <w:szCs w:val="20"/>
      <w:lang w:val="es-ES" w:eastAsia="es-ES_tradnl"/>
    </w:rPr>
  </w:style>
  <w:style w:type="paragraph" w:styleId="Encabezado">
    <w:name w:val="header"/>
    <w:basedOn w:val="Normal"/>
    <w:link w:val="EncabezadoCar"/>
    <w:uiPriority w:val="99"/>
    <w:unhideWhenUsed/>
    <w:rsid w:val="0067772F"/>
    <w:pPr>
      <w:tabs>
        <w:tab w:val="center" w:pos="4252"/>
        <w:tab w:val="right" w:pos="8504"/>
      </w:tabs>
    </w:pPr>
    <w:rPr>
      <w:lang w:val="es-ES" w:eastAsia="es-ES_tradnl"/>
    </w:rPr>
  </w:style>
  <w:style w:type="character" w:customStyle="1" w:styleId="EncabezadoCar">
    <w:name w:val="Encabezado Car"/>
    <w:basedOn w:val="Fuentedeprrafopredeter"/>
    <w:link w:val="Encabezado"/>
    <w:uiPriority w:val="99"/>
    <w:rsid w:val="0067772F"/>
    <w:rPr>
      <w:rFonts w:ascii="Times New Roman" w:eastAsia="Times New Roman" w:hAnsi="Times New Roman" w:cs="Times New Roman"/>
      <w:lang w:val="es-ES" w:eastAsia="es-ES_tradnl"/>
    </w:rPr>
  </w:style>
  <w:style w:type="paragraph" w:styleId="Piedepgina">
    <w:name w:val="footer"/>
    <w:basedOn w:val="Normal"/>
    <w:link w:val="PiedepginaCar"/>
    <w:uiPriority w:val="99"/>
    <w:unhideWhenUsed/>
    <w:rsid w:val="0067772F"/>
    <w:pPr>
      <w:tabs>
        <w:tab w:val="center" w:pos="4252"/>
        <w:tab w:val="right" w:pos="8504"/>
      </w:tabs>
    </w:pPr>
    <w:rPr>
      <w:lang w:val="es-ES" w:eastAsia="es-ES_tradnl"/>
    </w:rPr>
  </w:style>
  <w:style w:type="character" w:customStyle="1" w:styleId="PiedepginaCar">
    <w:name w:val="Pie de página Car"/>
    <w:basedOn w:val="Fuentedeprrafopredeter"/>
    <w:link w:val="Piedepgina"/>
    <w:uiPriority w:val="99"/>
    <w:rsid w:val="0067772F"/>
    <w:rPr>
      <w:rFonts w:ascii="Times New Roman" w:eastAsia="Times New Roman" w:hAnsi="Times New Roman" w:cs="Times New Roman"/>
      <w:lang w:val="es-ES" w:eastAsia="es-ES_tradnl"/>
    </w:rPr>
  </w:style>
  <w:style w:type="paragraph" w:styleId="Revisin">
    <w:name w:val="Revision"/>
    <w:hidden/>
    <w:uiPriority w:val="99"/>
    <w:semiHidden/>
    <w:rsid w:val="00C833AE"/>
    <w:rPr>
      <w:rFonts w:ascii="Times New Roman" w:eastAsia="Times New Roman" w:hAnsi="Times New Roman" w:cs="Times New Roman"/>
      <w:lang w:val="es-ES" w:eastAsia="es-ES_tradnl"/>
    </w:rPr>
  </w:style>
  <w:style w:type="numbering" w:styleId="111111">
    <w:name w:val="Outline List 2"/>
    <w:basedOn w:val="Sinlista"/>
    <w:uiPriority w:val="99"/>
    <w:semiHidden/>
    <w:unhideWhenUsed/>
    <w:rsid w:val="00203C2F"/>
    <w:pPr>
      <w:numPr>
        <w:numId w:val="12"/>
      </w:numPr>
    </w:pPr>
  </w:style>
  <w:style w:type="character" w:styleId="Refdecomentario">
    <w:name w:val="annotation reference"/>
    <w:basedOn w:val="Fuentedeprrafopredeter"/>
    <w:uiPriority w:val="99"/>
    <w:semiHidden/>
    <w:unhideWhenUsed/>
    <w:rsid w:val="00DF2B07"/>
    <w:rPr>
      <w:sz w:val="16"/>
      <w:szCs w:val="16"/>
    </w:rPr>
  </w:style>
  <w:style w:type="paragraph" w:styleId="Textocomentario">
    <w:name w:val="annotation text"/>
    <w:basedOn w:val="Normal"/>
    <w:link w:val="TextocomentarioCar"/>
    <w:uiPriority w:val="99"/>
    <w:unhideWhenUsed/>
    <w:rsid w:val="00DF2B07"/>
    <w:rPr>
      <w:sz w:val="20"/>
      <w:szCs w:val="20"/>
      <w:lang w:val="es-ES" w:eastAsia="es-ES_tradnl"/>
    </w:rPr>
  </w:style>
  <w:style w:type="character" w:customStyle="1" w:styleId="TextocomentarioCar">
    <w:name w:val="Texto comentario Car"/>
    <w:basedOn w:val="Fuentedeprrafopredeter"/>
    <w:link w:val="Textocomentario"/>
    <w:uiPriority w:val="99"/>
    <w:rsid w:val="00DF2B07"/>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DF2B07"/>
    <w:rPr>
      <w:b/>
      <w:bCs/>
    </w:rPr>
  </w:style>
  <w:style w:type="character" w:customStyle="1" w:styleId="AsuntodelcomentarioCar">
    <w:name w:val="Asunto del comentario Car"/>
    <w:basedOn w:val="TextocomentarioCar"/>
    <w:link w:val="Asuntodelcomentario"/>
    <w:uiPriority w:val="99"/>
    <w:semiHidden/>
    <w:rsid w:val="00DF2B07"/>
    <w:rPr>
      <w:rFonts w:ascii="Times New Roman" w:eastAsia="Times New Roman" w:hAnsi="Times New Roman" w:cs="Times New Roman"/>
      <w:b/>
      <w:bCs/>
      <w:sz w:val="20"/>
      <w:szCs w:val="20"/>
      <w:lang w:val="es-ES" w:eastAsia="es-ES_tradnl"/>
    </w:rPr>
  </w:style>
  <w:style w:type="character" w:customStyle="1" w:styleId="UnresolvedMention1">
    <w:name w:val="Unresolved Mention1"/>
    <w:basedOn w:val="Fuentedeprrafopredeter"/>
    <w:uiPriority w:val="99"/>
    <w:semiHidden/>
    <w:unhideWhenUsed/>
    <w:rsid w:val="00AE21FD"/>
    <w:rPr>
      <w:color w:val="605E5C"/>
      <w:shd w:val="clear" w:color="auto" w:fill="E1DFDD"/>
    </w:rPr>
  </w:style>
  <w:style w:type="character" w:styleId="Mencinsinresolver">
    <w:name w:val="Unresolved Mention"/>
    <w:basedOn w:val="Fuentedeprrafopredeter"/>
    <w:uiPriority w:val="99"/>
    <w:semiHidden/>
    <w:unhideWhenUsed/>
    <w:rsid w:val="005B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724">
      <w:bodyDiv w:val="1"/>
      <w:marLeft w:val="0"/>
      <w:marRight w:val="0"/>
      <w:marTop w:val="0"/>
      <w:marBottom w:val="0"/>
      <w:divBdr>
        <w:top w:val="none" w:sz="0" w:space="0" w:color="auto"/>
        <w:left w:val="none" w:sz="0" w:space="0" w:color="auto"/>
        <w:bottom w:val="none" w:sz="0" w:space="0" w:color="auto"/>
        <w:right w:val="none" w:sz="0" w:space="0" w:color="auto"/>
      </w:divBdr>
      <w:divsChild>
        <w:div w:id="1379237853">
          <w:marLeft w:val="0"/>
          <w:marRight w:val="0"/>
          <w:marTop w:val="0"/>
          <w:marBottom w:val="0"/>
          <w:divBdr>
            <w:top w:val="none" w:sz="0" w:space="0" w:color="auto"/>
            <w:left w:val="none" w:sz="0" w:space="0" w:color="auto"/>
            <w:bottom w:val="none" w:sz="0" w:space="0" w:color="auto"/>
            <w:right w:val="none" w:sz="0" w:space="0" w:color="auto"/>
          </w:divBdr>
          <w:divsChild>
            <w:div w:id="1219514699">
              <w:marLeft w:val="0"/>
              <w:marRight w:val="0"/>
              <w:marTop w:val="0"/>
              <w:marBottom w:val="0"/>
              <w:divBdr>
                <w:top w:val="none" w:sz="0" w:space="0" w:color="auto"/>
                <w:left w:val="none" w:sz="0" w:space="0" w:color="auto"/>
                <w:bottom w:val="none" w:sz="0" w:space="0" w:color="auto"/>
                <w:right w:val="none" w:sz="0" w:space="0" w:color="auto"/>
              </w:divBdr>
              <w:divsChild>
                <w:div w:id="16239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816">
      <w:bodyDiv w:val="1"/>
      <w:marLeft w:val="0"/>
      <w:marRight w:val="0"/>
      <w:marTop w:val="0"/>
      <w:marBottom w:val="0"/>
      <w:divBdr>
        <w:top w:val="none" w:sz="0" w:space="0" w:color="auto"/>
        <w:left w:val="none" w:sz="0" w:space="0" w:color="auto"/>
        <w:bottom w:val="none" w:sz="0" w:space="0" w:color="auto"/>
        <w:right w:val="none" w:sz="0" w:space="0" w:color="auto"/>
      </w:divBdr>
    </w:div>
    <w:div w:id="25722486">
      <w:bodyDiv w:val="1"/>
      <w:marLeft w:val="0"/>
      <w:marRight w:val="0"/>
      <w:marTop w:val="0"/>
      <w:marBottom w:val="0"/>
      <w:divBdr>
        <w:top w:val="none" w:sz="0" w:space="0" w:color="auto"/>
        <w:left w:val="none" w:sz="0" w:space="0" w:color="auto"/>
        <w:bottom w:val="none" w:sz="0" w:space="0" w:color="auto"/>
        <w:right w:val="none" w:sz="0" w:space="0" w:color="auto"/>
      </w:divBdr>
    </w:div>
    <w:div w:id="35863190">
      <w:bodyDiv w:val="1"/>
      <w:marLeft w:val="0"/>
      <w:marRight w:val="0"/>
      <w:marTop w:val="0"/>
      <w:marBottom w:val="0"/>
      <w:divBdr>
        <w:top w:val="none" w:sz="0" w:space="0" w:color="auto"/>
        <w:left w:val="none" w:sz="0" w:space="0" w:color="auto"/>
        <w:bottom w:val="none" w:sz="0" w:space="0" w:color="auto"/>
        <w:right w:val="none" w:sz="0" w:space="0" w:color="auto"/>
      </w:divBdr>
    </w:div>
    <w:div w:id="38669061">
      <w:bodyDiv w:val="1"/>
      <w:marLeft w:val="0"/>
      <w:marRight w:val="0"/>
      <w:marTop w:val="0"/>
      <w:marBottom w:val="0"/>
      <w:divBdr>
        <w:top w:val="none" w:sz="0" w:space="0" w:color="auto"/>
        <w:left w:val="none" w:sz="0" w:space="0" w:color="auto"/>
        <w:bottom w:val="none" w:sz="0" w:space="0" w:color="auto"/>
        <w:right w:val="none" w:sz="0" w:space="0" w:color="auto"/>
      </w:divBdr>
    </w:div>
    <w:div w:id="72708589">
      <w:bodyDiv w:val="1"/>
      <w:marLeft w:val="0"/>
      <w:marRight w:val="0"/>
      <w:marTop w:val="0"/>
      <w:marBottom w:val="0"/>
      <w:divBdr>
        <w:top w:val="none" w:sz="0" w:space="0" w:color="auto"/>
        <w:left w:val="none" w:sz="0" w:space="0" w:color="auto"/>
        <w:bottom w:val="none" w:sz="0" w:space="0" w:color="auto"/>
        <w:right w:val="none" w:sz="0" w:space="0" w:color="auto"/>
      </w:divBdr>
    </w:div>
    <w:div w:id="97070870">
      <w:bodyDiv w:val="1"/>
      <w:marLeft w:val="0"/>
      <w:marRight w:val="0"/>
      <w:marTop w:val="0"/>
      <w:marBottom w:val="0"/>
      <w:divBdr>
        <w:top w:val="none" w:sz="0" w:space="0" w:color="auto"/>
        <w:left w:val="none" w:sz="0" w:space="0" w:color="auto"/>
        <w:bottom w:val="none" w:sz="0" w:space="0" w:color="auto"/>
        <w:right w:val="none" w:sz="0" w:space="0" w:color="auto"/>
      </w:divBdr>
    </w:div>
    <w:div w:id="99377143">
      <w:bodyDiv w:val="1"/>
      <w:marLeft w:val="0"/>
      <w:marRight w:val="0"/>
      <w:marTop w:val="0"/>
      <w:marBottom w:val="0"/>
      <w:divBdr>
        <w:top w:val="none" w:sz="0" w:space="0" w:color="auto"/>
        <w:left w:val="none" w:sz="0" w:space="0" w:color="auto"/>
        <w:bottom w:val="none" w:sz="0" w:space="0" w:color="auto"/>
        <w:right w:val="none" w:sz="0" w:space="0" w:color="auto"/>
      </w:divBdr>
    </w:div>
    <w:div w:id="116536357">
      <w:bodyDiv w:val="1"/>
      <w:marLeft w:val="0"/>
      <w:marRight w:val="0"/>
      <w:marTop w:val="0"/>
      <w:marBottom w:val="0"/>
      <w:divBdr>
        <w:top w:val="none" w:sz="0" w:space="0" w:color="auto"/>
        <w:left w:val="none" w:sz="0" w:space="0" w:color="auto"/>
        <w:bottom w:val="none" w:sz="0" w:space="0" w:color="auto"/>
        <w:right w:val="none" w:sz="0" w:space="0" w:color="auto"/>
      </w:divBdr>
    </w:div>
    <w:div w:id="123237078">
      <w:bodyDiv w:val="1"/>
      <w:marLeft w:val="0"/>
      <w:marRight w:val="0"/>
      <w:marTop w:val="0"/>
      <w:marBottom w:val="0"/>
      <w:divBdr>
        <w:top w:val="none" w:sz="0" w:space="0" w:color="auto"/>
        <w:left w:val="none" w:sz="0" w:space="0" w:color="auto"/>
        <w:bottom w:val="none" w:sz="0" w:space="0" w:color="auto"/>
        <w:right w:val="none" w:sz="0" w:space="0" w:color="auto"/>
      </w:divBdr>
    </w:div>
    <w:div w:id="142889779">
      <w:bodyDiv w:val="1"/>
      <w:marLeft w:val="0"/>
      <w:marRight w:val="0"/>
      <w:marTop w:val="0"/>
      <w:marBottom w:val="0"/>
      <w:divBdr>
        <w:top w:val="none" w:sz="0" w:space="0" w:color="auto"/>
        <w:left w:val="none" w:sz="0" w:space="0" w:color="auto"/>
        <w:bottom w:val="none" w:sz="0" w:space="0" w:color="auto"/>
        <w:right w:val="none" w:sz="0" w:space="0" w:color="auto"/>
      </w:divBdr>
      <w:divsChild>
        <w:div w:id="712582080">
          <w:marLeft w:val="0"/>
          <w:marRight w:val="0"/>
          <w:marTop w:val="0"/>
          <w:marBottom w:val="0"/>
          <w:divBdr>
            <w:top w:val="none" w:sz="0" w:space="0" w:color="auto"/>
            <w:left w:val="none" w:sz="0" w:space="0" w:color="auto"/>
            <w:bottom w:val="none" w:sz="0" w:space="0" w:color="auto"/>
            <w:right w:val="none" w:sz="0" w:space="0" w:color="auto"/>
          </w:divBdr>
          <w:divsChild>
            <w:div w:id="38939896">
              <w:marLeft w:val="0"/>
              <w:marRight w:val="0"/>
              <w:marTop w:val="0"/>
              <w:marBottom w:val="0"/>
              <w:divBdr>
                <w:top w:val="none" w:sz="0" w:space="0" w:color="auto"/>
                <w:left w:val="none" w:sz="0" w:space="0" w:color="auto"/>
                <w:bottom w:val="none" w:sz="0" w:space="0" w:color="auto"/>
                <w:right w:val="none" w:sz="0" w:space="0" w:color="auto"/>
              </w:divBdr>
              <w:divsChild>
                <w:div w:id="6073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9073">
      <w:bodyDiv w:val="1"/>
      <w:marLeft w:val="0"/>
      <w:marRight w:val="0"/>
      <w:marTop w:val="0"/>
      <w:marBottom w:val="0"/>
      <w:divBdr>
        <w:top w:val="none" w:sz="0" w:space="0" w:color="auto"/>
        <w:left w:val="none" w:sz="0" w:space="0" w:color="auto"/>
        <w:bottom w:val="none" w:sz="0" w:space="0" w:color="auto"/>
        <w:right w:val="none" w:sz="0" w:space="0" w:color="auto"/>
      </w:divBdr>
    </w:div>
    <w:div w:id="175846045">
      <w:bodyDiv w:val="1"/>
      <w:marLeft w:val="0"/>
      <w:marRight w:val="0"/>
      <w:marTop w:val="0"/>
      <w:marBottom w:val="0"/>
      <w:divBdr>
        <w:top w:val="none" w:sz="0" w:space="0" w:color="auto"/>
        <w:left w:val="none" w:sz="0" w:space="0" w:color="auto"/>
        <w:bottom w:val="none" w:sz="0" w:space="0" w:color="auto"/>
        <w:right w:val="none" w:sz="0" w:space="0" w:color="auto"/>
      </w:divBdr>
    </w:div>
    <w:div w:id="176771572">
      <w:bodyDiv w:val="1"/>
      <w:marLeft w:val="0"/>
      <w:marRight w:val="0"/>
      <w:marTop w:val="0"/>
      <w:marBottom w:val="0"/>
      <w:divBdr>
        <w:top w:val="none" w:sz="0" w:space="0" w:color="auto"/>
        <w:left w:val="none" w:sz="0" w:space="0" w:color="auto"/>
        <w:bottom w:val="none" w:sz="0" w:space="0" w:color="auto"/>
        <w:right w:val="none" w:sz="0" w:space="0" w:color="auto"/>
      </w:divBdr>
      <w:divsChild>
        <w:div w:id="1395465115">
          <w:marLeft w:val="0"/>
          <w:marRight w:val="0"/>
          <w:marTop w:val="0"/>
          <w:marBottom w:val="0"/>
          <w:divBdr>
            <w:top w:val="none" w:sz="0" w:space="0" w:color="auto"/>
            <w:left w:val="none" w:sz="0" w:space="0" w:color="auto"/>
            <w:bottom w:val="none" w:sz="0" w:space="0" w:color="auto"/>
            <w:right w:val="none" w:sz="0" w:space="0" w:color="auto"/>
          </w:divBdr>
          <w:divsChild>
            <w:div w:id="2023510968">
              <w:marLeft w:val="0"/>
              <w:marRight w:val="0"/>
              <w:marTop w:val="0"/>
              <w:marBottom w:val="0"/>
              <w:divBdr>
                <w:top w:val="none" w:sz="0" w:space="0" w:color="auto"/>
                <w:left w:val="none" w:sz="0" w:space="0" w:color="auto"/>
                <w:bottom w:val="none" w:sz="0" w:space="0" w:color="auto"/>
                <w:right w:val="none" w:sz="0" w:space="0" w:color="auto"/>
              </w:divBdr>
              <w:divsChild>
                <w:div w:id="392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1351">
      <w:bodyDiv w:val="1"/>
      <w:marLeft w:val="0"/>
      <w:marRight w:val="0"/>
      <w:marTop w:val="0"/>
      <w:marBottom w:val="0"/>
      <w:divBdr>
        <w:top w:val="none" w:sz="0" w:space="0" w:color="auto"/>
        <w:left w:val="none" w:sz="0" w:space="0" w:color="auto"/>
        <w:bottom w:val="none" w:sz="0" w:space="0" w:color="auto"/>
        <w:right w:val="none" w:sz="0" w:space="0" w:color="auto"/>
      </w:divBdr>
      <w:divsChild>
        <w:div w:id="1155754809">
          <w:marLeft w:val="0"/>
          <w:marRight w:val="0"/>
          <w:marTop w:val="0"/>
          <w:marBottom w:val="0"/>
          <w:divBdr>
            <w:top w:val="none" w:sz="0" w:space="0" w:color="auto"/>
            <w:left w:val="none" w:sz="0" w:space="0" w:color="auto"/>
            <w:bottom w:val="none" w:sz="0" w:space="0" w:color="auto"/>
            <w:right w:val="none" w:sz="0" w:space="0" w:color="auto"/>
          </w:divBdr>
          <w:divsChild>
            <w:div w:id="2108425201">
              <w:marLeft w:val="0"/>
              <w:marRight w:val="0"/>
              <w:marTop w:val="0"/>
              <w:marBottom w:val="0"/>
              <w:divBdr>
                <w:top w:val="none" w:sz="0" w:space="0" w:color="auto"/>
                <w:left w:val="none" w:sz="0" w:space="0" w:color="auto"/>
                <w:bottom w:val="none" w:sz="0" w:space="0" w:color="auto"/>
                <w:right w:val="none" w:sz="0" w:space="0" w:color="auto"/>
              </w:divBdr>
              <w:divsChild>
                <w:div w:id="7987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667">
      <w:bodyDiv w:val="1"/>
      <w:marLeft w:val="0"/>
      <w:marRight w:val="0"/>
      <w:marTop w:val="0"/>
      <w:marBottom w:val="0"/>
      <w:divBdr>
        <w:top w:val="none" w:sz="0" w:space="0" w:color="auto"/>
        <w:left w:val="none" w:sz="0" w:space="0" w:color="auto"/>
        <w:bottom w:val="none" w:sz="0" w:space="0" w:color="auto"/>
        <w:right w:val="none" w:sz="0" w:space="0" w:color="auto"/>
      </w:divBdr>
    </w:div>
    <w:div w:id="216210281">
      <w:bodyDiv w:val="1"/>
      <w:marLeft w:val="0"/>
      <w:marRight w:val="0"/>
      <w:marTop w:val="0"/>
      <w:marBottom w:val="0"/>
      <w:divBdr>
        <w:top w:val="none" w:sz="0" w:space="0" w:color="auto"/>
        <w:left w:val="none" w:sz="0" w:space="0" w:color="auto"/>
        <w:bottom w:val="none" w:sz="0" w:space="0" w:color="auto"/>
        <w:right w:val="none" w:sz="0" w:space="0" w:color="auto"/>
      </w:divBdr>
    </w:div>
    <w:div w:id="244612792">
      <w:bodyDiv w:val="1"/>
      <w:marLeft w:val="0"/>
      <w:marRight w:val="0"/>
      <w:marTop w:val="0"/>
      <w:marBottom w:val="0"/>
      <w:divBdr>
        <w:top w:val="none" w:sz="0" w:space="0" w:color="auto"/>
        <w:left w:val="none" w:sz="0" w:space="0" w:color="auto"/>
        <w:bottom w:val="none" w:sz="0" w:space="0" w:color="auto"/>
        <w:right w:val="none" w:sz="0" w:space="0" w:color="auto"/>
      </w:divBdr>
      <w:divsChild>
        <w:div w:id="580794549">
          <w:marLeft w:val="0"/>
          <w:marRight w:val="0"/>
          <w:marTop w:val="0"/>
          <w:marBottom w:val="0"/>
          <w:divBdr>
            <w:top w:val="none" w:sz="0" w:space="0" w:color="auto"/>
            <w:left w:val="none" w:sz="0" w:space="0" w:color="auto"/>
            <w:bottom w:val="none" w:sz="0" w:space="0" w:color="auto"/>
            <w:right w:val="none" w:sz="0" w:space="0" w:color="auto"/>
          </w:divBdr>
          <w:divsChild>
            <w:div w:id="1334720537">
              <w:marLeft w:val="0"/>
              <w:marRight w:val="0"/>
              <w:marTop w:val="0"/>
              <w:marBottom w:val="0"/>
              <w:divBdr>
                <w:top w:val="none" w:sz="0" w:space="0" w:color="auto"/>
                <w:left w:val="none" w:sz="0" w:space="0" w:color="auto"/>
                <w:bottom w:val="none" w:sz="0" w:space="0" w:color="auto"/>
                <w:right w:val="none" w:sz="0" w:space="0" w:color="auto"/>
              </w:divBdr>
              <w:divsChild>
                <w:div w:id="16096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6986">
      <w:bodyDiv w:val="1"/>
      <w:marLeft w:val="0"/>
      <w:marRight w:val="0"/>
      <w:marTop w:val="0"/>
      <w:marBottom w:val="0"/>
      <w:divBdr>
        <w:top w:val="none" w:sz="0" w:space="0" w:color="auto"/>
        <w:left w:val="none" w:sz="0" w:space="0" w:color="auto"/>
        <w:bottom w:val="none" w:sz="0" w:space="0" w:color="auto"/>
        <w:right w:val="none" w:sz="0" w:space="0" w:color="auto"/>
      </w:divBdr>
      <w:divsChild>
        <w:div w:id="1181241500">
          <w:marLeft w:val="0"/>
          <w:marRight w:val="0"/>
          <w:marTop w:val="0"/>
          <w:marBottom w:val="0"/>
          <w:divBdr>
            <w:top w:val="none" w:sz="0" w:space="0" w:color="auto"/>
            <w:left w:val="none" w:sz="0" w:space="0" w:color="auto"/>
            <w:bottom w:val="none" w:sz="0" w:space="0" w:color="auto"/>
            <w:right w:val="none" w:sz="0" w:space="0" w:color="auto"/>
          </w:divBdr>
          <w:divsChild>
            <w:div w:id="2043701150">
              <w:marLeft w:val="0"/>
              <w:marRight w:val="0"/>
              <w:marTop w:val="0"/>
              <w:marBottom w:val="0"/>
              <w:divBdr>
                <w:top w:val="none" w:sz="0" w:space="0" w:color="auto"/>
                <w:left w:val="none" w:sz="0" w:space="0" w:color="auto"/>
                <w:bottom w:val="none" w:sz="0" w:space="0" w:color="auto"/>
                <w:right w:val="none" w:sz="0" w:space="0" w:color="auto"/>
              </w:divBdr>
              <w:divsChild>
                <w:div w:id="2000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3675">
      <w:bodyDiv w:val="1"/>
      <w:marLeft w:val="0"/>
      <w:marRight w:val="0"/>
      <w:marTop w:val="0"/>
      <w:marBottom w:val="0"/>
      <w:divBdr>
        <w:top w:val="none" w:sz="0" w:space="0" w:color="auto"/>
        <w:left w:val="none" w:sz="0" w:space="0" w:color="auto"/>
        <w:bottom w:val="none" w:sz="0" w:space="0" w:color="auto"/>
        <w:right w:val="none" w:sz="0" w:space="0" w:color="auto"/>
      </w:divBdr>
    </w:div>
    <w:div w:id="283733772">
      <w:bodyDiv w:val="1"/>
      <w:marLeft w:val="0"/>
      <w:marRight w:val="0"/>
      <w:marTop w:val="0"/>
      <w:marBottom w:val="0"/>
      <w:divBdr>
        <w:top w:val="none" w:sz="0" w:space="0" w:color="auto"/>
        <w:left w:val="none" w:sz="0" w:space="0" w:color="auto"/>
        <w:bottom w:val="none" w:sz="0" w:space="0" w:color="auto"/>
        <w:right w:val="none" w:sz="0" w:space="0" w:color="auto"/>
      </w:divBdr>
      <w:divsChild>
        <w:div w:id="201134689">
          <w:marLeft w:val="0"/>
          <w:marRight w:val="0"/>
          <w:marTop w:val="0"/>
          <w:marBottom w:val="0"/>
          <w:divBdr>
            <w:top w:val="none" w:sz="0" w:space="0" w:color="auto"/>
            <w:left w:val="none" w:sz="0" w:space="0" w:color="auto"/>
            <w:bottom w:val="none" w:sz="0" w:space="0" w:color="auto"/>
            <w:right w:val="none" w:sz="0" w:space="0" w:color="auto"/>
          </w:divBdr>
          <w:divsChild>
            <w:div w:id="32466534">
              <w:marLeft w:val="0"/>
              <w:marRight w:val="0"/>
              <w:marTop w:val="0"/>
              <w:marBottom w:val="0"/>
              <w:divBdr>
                <w:top w:val="none" w:sz="0" w:space="0" w:color="auto"/>
                <w:left w:val="none" w:sz="0" w:space="0" w:color="auto"/>
                <w:bottom w:val="none" w:sz="0" w:space="0" w:color="auto"/>
                <w:right w:val="none" w:sz="0" w:space="0" w:color="auto"/>
              </w:divBdr>
              <w:divsChild>
                <w:div w:id="2474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1913">
      <w:bodyDiv w:val="1"/>
      <w:marLeft w:val="0"/>
      <w:marRight w:val="0"/>
      <w:marTop w:val="0"/>
      <w:marBottom w:val="0"/>
      <w:divBdr>
        <w:top w:val="none" w:sz="0" w:space="0" w:color="auto"/>
        <w:left w:val="none" w:sz="0" w:space="0" w:color="auto"/>
        <w:bottom w:val="none" w:sz="0" w:space="0" w:color="auto"/>
        <w:right w:val="none" w:sz="0" w:space="0" w:color="auto"/>
      </w:divBdr>
      <w:divsChild>
        <w:div w:id="369645358">
          <w:marLeft w:val="0"/>
          <w:marRight w:val="0"/>
          <w:marTop w:val="0"/>
          <w:marBottom w:val="0"/>
          <w:divBdr>
            <w:top w:val="none" w:sz="0" w:space="0" w:color="auto"/>
            <w:left w:val="none" w:sz="0" w:space="0" w:color="auto"/>
            <w:bottom w:val="none" w:sz="0" w:space="0" w:color="auto"/>
            <w:right w:val="none" w:sz="0" w:space="0" w:color="auto"/>
          </w:divBdr>
          <w:divsChild>
            <w:div w:id="1078088413">
              <w:marLeft w:val="0"/>
              <w:marRight w:val="0"/>
              <w:marTop w:val="0"/>
              <w:marBottom w:val="0"/>
              <w:divBdr>
                <w:top w:val="none" w:sz="0" w:space="0" w:color="auto"/>
                <w:left w:val="none" w:sz="0" w:space="0" w:color="auto"/>
                <w:bottom w:val="none" w:sz="0" w:space="0" w:color="auto"/>
                <w:right w:val="none" w:sz="0" w:space="0" w:color="auto"/>
              </w:divBdr>
              <w:divsChild>
                <w:div w:id="12099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7011">
      <w:bodyDiv w:val="1"/>
      <w:marLeft w:val="0"/>
      <w:marRight w:val="0"/>
      <w:marTop w:val="0"/>
      <w:marBottom w:val="0"/>
      <w:divBdr>
        <w:top w:val="none" w:sz="0" w:space="0" w:color="auto"/>
        <w:left w:val="none" w:sz="0" w:space="0" w:color="auto"/>
        <w:bottom w:val="none" w:sz="0" w:space="0" w:color="auto"/>
        <w:right w:val="none" w:sz="0" w:space="0" w:color="auto"/>
      </w:divBdr>
    </w:div>
    <w:div w:id="318655852">
      <w:bodyDiv w:val="1"/>
      <w:marLeft w:val="0"/>
      <w:marRight w:val="0"/>
      <w:marTop w:val="0"/>
      <w:marBottom w:val="0"/>
      <w:divBdr>
        <w:top w:val="none" w:sz="0" w:space="0" w:color="auto"/>
        <w:left w:val="none" w:sz="0" w:space="0" w:color="auto"/>
        <w:bottom w:val="none" w:sz="0" w:space="0" w:color="auto"/>
        <w:right w:val="none" w:sz="0" w:space="0" w:color="auto"/>
      </w:divBdr>
    </w:div>
    <w:div w:id="325326488">
      <w:bodyDiv w:val="1"/>
      <w:marLeft w:val="0"/>
      <w:marRight w:val="0"/>
      <w:marTop w:val="0"/>
      <w:marBottom w:val="0"/>
      <w:divBdr>
        <w:top w:val="none" w:sz="0" w:space="0" w:color="auto"/>
        <w:left w:val="none" w:sz="0" w:space="0" w:color="auto"/>
        <w:bottom w:val="none" w:sz="0" w:space="0" w:color="auto"/>
        <w:right w:val="none" w:sz="0" w:space="0" w:color="auto"/>
      </w:divBdr>
    </w:div>
    <w:div w:id="350105055">
      <w:bodyDiv w:val="1"/>
      <w:marLeft w:val="0"/>
      <w:marRight w:val="0"/>
      <w:marTop w:val="0"/>
      <w:marBottom w:val="0"/>
      <w:divBdr>
        <w:top w:val="none" w:sz="0" w:space="0" w:color="auto"/>
        <w:left w:val="none" w:sz="0" w:space="0" w:color="auto"/>
        <w:bottom w:val="none" w:sz="0" w:space="0" w:color="auto"/>
        <w:right w:val="none" w:sz="0" w:space="0" w:color="auto"/>
      </w:divBdr>
    </w:div>
    <w:div w:id="354234749">
      <w:bodyDiv w:val="1"/>
      <w:marLeft w:val="0"/>
      <w:marRight w:val="0"/>
      <w:marTop w:val="0"/>
      <w:marBottom w:val="0"/>
      <w:divBdr>
        <w:top w:val="none" w:sz="0" w:space="0" w:color="auto"/>
        <w:left w:val="none" w:sz="0" w:space="0" w:color="auto"/>
        <w:bottom w:val="none" w:sz="0" w:space="0" w:color="auto"/>
        <w:right w:val="none" w:sz="0" w:space="0" w:color="auto"/>
      </w:divBdr>
      <w:divsChild>
        <w:div w:id="1079253635">
          <w:marLeft w:val="0"/>
          <w:marRight w:val="0"/>
          <w:marTop w:val="0"/>
          <w:marBottom w:val="0"/>
          <w:divBdr>
            <w:top w:val="none" w:sz="0" w:space="0" w:color="auto"/>
            <w:left w:val="none" w:sz="0" w:space="0" w:color="auto"/>
            <w:bottom w:val="none" w:sz="0" w:space="0" w:color="auto"/>
            <w:right w:val="none" w:sz="0" w:space="0" w:color="auto"/>
          </w:divBdr>
          <w:divsChild>
            <w:div w:id="375009795">
              <w:marLeft w:val="0"/>
              <w:marRight w:val="0"/>
              <w:marTop w:val="0"/>
              <w:marBottom w:val="0"/>
              <w:divBdr>
                <w:top w:val="none" w:sz="0" w:space="0" w:color="auto"/>
                <w:left w:val="none" w:sz="0" w:space="0" w:color="auto"/>
                <w:bottom w:val="none" w:sz="0" w:space="0" w:color="auto"/>
                <w:right w:val="none" w:sz="0" w:space="0" w:color="auto"/>
              </w:divBdr>
              <w:divsChild>
                <w:div w:id="18630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32248">
      <w:bodyDiv w:val="1"/>
      <w:marLeft w:val="0"/>
      <w:marRight w:val="0"/>
      <w:marTop w:val="0"/>
      <w:marBottom w:val="0"/>
      <w:divBdr>
        <w:top w:val="none" w:sz="0" w:space="0" w:color="auto"/>
        <w:left w:val="none" w:sz="0" w:space="0" w:color="auto"/>
        <w:bottom w:val="none" w:sz="0" w:space="0" w:color="auto"/>
        <w:right w:val="none" w:sz="0" w:space="0" w:color="auto"/>
      </w:divBdr>
      <w:divsChild>
        <w:div w:id="1023283041">
          <w:marLeft w:val="0"/>
          <w:marRight w:val="0"/>
          <w:marTop w:val="0"/>
          <w:marBottom w:val="0"/>
          <w:divBdr>
            <w:top w:val="none" w:sz="0" w:space="0" w:color="auto"/>
            <w:left w:val="none" w:sz="0" w:space="0" w:color="auto"/>
            <w:bottom w:val="none" w:sz="0" w:space="0" w:color="auto"/>
            <w:right w:val="none" w:sz="0" w:space="0" w:color="auto"/>
          </w:divBdr>
          <w:divsChild>
            <w:div w:id="22900088">
              <w:marLeft w:val="0"/>
              <w:marRight w:val="0"/>
              <w:marTop w:val="0"/>
              <w:marBottom w:val="0"/>
              <w:divBdr>
                <w:top w:val="none" w:sz="0" w:space="0" w:color="auto"/>
                <w:left w:val="none" w:sz="0" w:space="0" w:color="auto"/>
                <w:bottom w:val="none" w:sz="0" w:space="0" w:color="auto"/>
                <w:right w:val="none" w:sz="0" w:space="0" w:color="auto"/>
              </w:divBdr>
              <w:divsChild>
                <w:div w:id="1271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8679">
      <w:bodyDiv w:val="1"/>
      <w:marLeft w:val="0"/>
      <w:marRight w:val="0"/>
      <w:marTop w:val="0"/>
      <w:marBottom w:val="0"/>
      <w:divBdr>
        <w:top w:val="none" w:sz="0" w:space="0" w:color="auto"/>
        <w:left w:val="none" w:sz="0" w:space="0" w:color="auto"/>
        <w:bottom w:val="none" w:sz="0" w:space="0" w:color="auto"/>
        <w:right w:val="none" w:sz="0" w:space="0" w:color="auto"/>
      </w:divBdr>
    </w:div>
    <w:div w:id="391466018">
      <w:bodyDiv w:val="1"/>
      <w:marLeft w:val="0"/>
      <w:marRight w:val="0"/>
      <w:marTop w:val="0"/>
      <w:marBottom w:val="0"/>
      <w:divBdr>
        <w:top w:val="none" w:sz="0" w:space="0" w:color="auto"/>
        <w:left w:val="none" w:sz="0" w:space="0" w:color="auto"/>
        <w:bottom w:val="none" w:sz="0" w:space="0" w:color="auto"/>
        <w:right w:val="none" w:sz="0" w:space="0" w:color="auto"/>
      </w:divBdr>
      <w:divsChild>
        <w:div w:id="435950090">
          <w:marLeft w:val="0"/>
          <w:marRight w:val="0"/>
          <w:marTop w:val="0"/>
          <w:marBottom w:val="0"/>
          <w:divBdr>
            <w:top w:val="none" w:sz="0" w:space="0" w:color="auto"/>
            <w:left w:val="none" w:sz="0" w:space="0" w:color="auto"/>
            <w:bottom w:val="none" w:sz="0" w:space="0" w:color="auto"/>
            <w:right w:val="none" w:sz="0" w:space="0" w:color="auto"/>
          </w:divBdr>
          <w:divsChild>
            <w:div w:id="673000004">
              <w:marLeft w:val="0"/>
              <w:marRight w:val="0"/>
              <w:marTop w:val="0"/>
              <w:marBottom w:val="0"/>
              <w:divBdr>
                <w:top w:val="none" w:sz="0" w:space="0" w:color="auto"/>
                <w:left w:val="none" w:sz="0" w:space="0" w:color="auto"/>
                <w:bottom w:val="none" w:sz="0" w:space="0" w:color="auto"/>
                <w:right w:val="none" w:sz="0" w:space="0" w:color="auto"/>
              </w:divBdr>
              <w:divsChild>
                <w:div w:id="1426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2904">
      <w:bodyDiv w:val="1"/>
      <w:marLeft w:val="0"/>
      <w:marRight w:val="0"/>
      <w:marTop w:val="0"/>
      <w:marBottom w:val="0"/>
      <w:divBdr>
        <w:top w:val="none" w:sz="0" w:space="0" w:color="auto"/>
        <w:left w:val="none" w:sz="0" w:space="0" w:color="auto"/>
        <w:bottom w:val="none" w:sz="0" w:space="0" w:color="auto"/>
        <w:right w:val="none" w:sz="0" w:space="0" w:color="auto"/>
      </w:divBdr>
    </w:div>
    <w:div w:id="430514726">
      <w:bodyDiv w:val="1"/>
      <w:marLeft w:val="0"/>
      <w:marRight w:val="0"/>
      <w:marTop w:val="0"/>
      <w:marBottom w:val="0"/>
      <w:divBdr>
        <w:top w:val="none" w:sz="0" w:space="0" w:color="auto"/>
        <w:left w:val="none" w:sz="0" w:space="0" w:color="auto"/>
        <w:bottom w:val="none" w:sz="0" w:space="0" w:color="auto"/>
        <w:right w:val="none" w:sz="0" w:space="0" w:color="auto"/>
      </w:divBdr>
      <w:divsChild>
        <w:div w:id="683898148">
          <w:marLeft w:val="0"/>
          <w:marRight w:val="0"/>
          <w:marTop w:val="0"/>
          <w:marBottom w:val="0"/>
          <w:divBdr>
            <w:top w:val="none" w:sz="0" w:space="0" w:color="auto"/>
            <w:left w:val="none" w:sz="0" w:space="0" w:color="auto"/>
            <w:bottom w:val="none" w:sz="0" w:space="0" w:color="auto"/>
            <w:right w:val="none" w:sz="0" w:space="0" w:color="auto"/>
          </w:divBdr>
          <w:divsChild>
            <w:div w:id="2012022275">
              <w:marLeft w:val="0"/>
              <w:marRight w:val="0"/>
              <w:marTop w:val="0"/>
              <w:marBottom w:val="0"/>
              <w:divBdr>
                <w:top w:val="none" w:sz="0" w:space="0" w:color="auto"/>
                <w:left w:val="none" w:sz="0" w:space="0" w:color="auto"/>
                <w:bottom w:val="none" w:sz="0" w:space="0" w:color="auto"/>
                <w:right w:val="none" w:sz="0" w:space="0" w:color="auto"/>
              </w:divBdr>
              <w:divsChild>
                <w:div w:id="12647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89322">
      <w:bodyDiv w:val="1"/>
      <w:marLeft w:val="0"/>
      <w:marRight w:val="0"/>
      <w:marTop w:val="0"/>
      <w:marBottom w:val="0"/>
      <w:divBdr>
        <w:top w:val="none" w:sz="0" w:space="0" w:color="auto"/>
        <w:left w:val="none" w:sz="0" w:space="0" w:color="auto"/>
        <w:bottom w:val="none" w:sz="0" w:space="0" w:color="auto"/>
        <w:right w:val="none" w:sz="0" w:space="0" w:color="auto"/>
      </w:divBdr>
    </w:div>
    <w:div w:id="474378519">
      <w:bodyDiv w:val="1"/>
      <w:marLeft w:val="0"/>
      <w:marRight w:val="0"/>
      <w:marTop w:val="0"/>
      <w:marBottom w:val="0"/>
      <w:divBdr>
        <w:top w:val="none" w:sz="0" w:space="0" w:color="auto"/>
        <w:left w:val="none" w:sz="0" w:space="0" w:color="auto"/>
        <w:bottom w:val="none" w:sz="0" w:space="0" w:color="auto"/>
        <w:right w:val="none" w:sz="0" w:space="0" w:color="auto"/>
      </w:divBdr>
    </w:div>
    <w:div w:id="484319186">
      <w:bodyDiv w:val="1"/>
      <w:marLeft w:val="0"/>
      <w:marRight w:val="0"/>
      <w:marTop w:val="0"/>
      <w:marBottom w:val="0"/>
      <w:divBdr>
        <w:top w:val="none" w:sz="0" w:space="0" w:color="auto"/>
        <w:left w:val="none" w:sz="0" w:space="0" w:color="auto"/>
        <w:bottom w:val="none" w:sz="0" w:space="0" w:color="auto"/>
        <w:right w:val="none" w:sz="0" w:space="0" w:color="auto"/>
      </w:divBdr>
    </w:div>
    <w:div w:id="535512008">
      <w:bodyDiv w:val="1"/>
      <w:marLeft w:val="0"/>
      <w:marRight w:val="0"/>
      <w:marTop w:val="0"/>
      <w:marBottom w:val="0"/>
      <w:divBdr>
        <w:top w:val="none" w:sz="0" w:space="0" w:color="auto"/>
        <w:left w:val="none" w:sz="0" w:space="0" w:color="auto"/>
        <w:bottom w:val="none" w:sz="0" w:space="0" w:color="auto"/>
        <w:right w:val="none" w:sz="0" w:space="0" w:color="auto"/>
      </w:divBdr>
      <w:divsChild>
        <w:div w:id="2019427135">
          <w:marLeft w:val="0"/>
          <w:marRight w:val="0"/>
          <w:marTop w:val="0"/>
          <w:marBottom w:val="0"/>
          <w:divBdr>
            <w:top w:val="none" w:sz="0" w:space="0" w:color="auto"/>
            <w:left w:val="none" w:sz="0" w:space="0" w:color="auto"/>
            <w:bottom w:val="none" w:sz="0" w:space="0" w:color="auto"/>
            <w:right w:val="none" w:sz="0" w:space="0" w:color="auto"/>
          </w:divBdr>
          <w:divsChild>
            <w:div w:id="1303778519">
              <w:marLeft w:val="0"/>
              <w:marRight w:val="0"/>
              <w:marTop w:val="0"/>
              <w:marBottom w:val="0"/>
              <w:divBdr>
                <w:top w:val="none" w:sz="0" w:space="0" w:color="auto"/>
                <w:left w:val="none" w:sz="0" w:space="0" w:color="auto"/>
                <w:bottom w:val="none" w:sz="0" w:space="0" w:color="auto"/>
                <w:right w:val="none" w:sz="0" w:space="0" w:color="auto"/>
              </w:divBdr>
              <w:divsChild>
                <w:div w:id="10068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6267">
      <w:bodyDiv w:val="1"/>
      <w:marLeft w:val="0"/>
      <w:marRight w:val="0"/>
      <w:marTop w:val="0"/>
      <w:marBottom w:val="0"/>
      <w:divBdr>
        <w:top w:val="none" w:sz="0" w:space="0" w:color="auto"/>
        <w:left w:val="none" w:sz="0" w:space="0" w:color="auto"/>
        <w:bottom w:val="none" w:sz="0" w:space="0" w:color="auto"/>
        <w:right w:val="none" w:sz="0" w:space="0" w:color="auto"/>
      </w:divBdr>
    </w:div>
    <w:div w:id="575014448">
      <w:bodyDiv w:val="1"/>
      <w:marLeft w:val="0"/>
      <w:marRight w:val="0"/>
      <w:marTop w:val="0"/>
      <w:marBottom w:val="0"/>
      <w:divBdr>
        <w:top w:val="none" w:sz="0" w:space="0" w:color="auto"/>
        <w:left w:val="none" w:sz="0" w:space="0" w:color="auto"/>
        <w:bottom w:val="none" w:sz="0" w:space="0" w:color="auto"/>
        <w:right w:val="none" w:sz="0" w:space="0" w:color="auto"/>
      </w:divBdr>
      <w:divsChild>
        <w:div w:id="1149782299">
          <w:marLeft w:val="0"/>
          <w:marRight w:val="0"/>
          <w:marTop w:val="150"/>
          <w:marBottom w:val="150"/>
          <w:divBdr>
            <w:top w:val="none" w:sz="0" w:space="0" w:color="auto"/>
            <w:left w:val="none" w:sz="0" w:space="0" w:color="auto"/>
            <w:bottom w:val="none" w:sz="0" w:space="0" w:color="auto"/>
            <w:right w:val="none" w:sz="0" w:space="0" w:color="auto"/>
          </w:divBdr>
        </w:div>
      </w:divsChild>
    </w:div>
    <w:div w:id="579749761">
      <w:bodyDiv w:val="1"/>
      <w:marLeft w:val="0"/>
      <w:marRight w:val="0"/>
      <w:marTop w:val="0"/>
      <w:marBottom w:val="0"/>
      <w:divBdr>
        <w:top w:val="none" w:sz="0" w:space="0" w:color="auto"/>
        <w:left w:val="none" w:sz="0" w:space="0" w:color="auto"/>
        <w:bottom w:val="none" w:sz="0" w:space="0" w:color="auto"/>
        <w:right w:val="none" w:sz="0" w:space="0" w:color="auto"/>
      </w:divBdr>
      <w:divsChild>
        <w:div w:id="1637294050">
          <w:marLeft w:val="0"/>
          <w:marRight w:val="0"/>
          <w:marTop w:val="0"/>
          <w:marBottom w:val="0"/>
          <w:divBdr>
            <w:top w:val="none" w:sz="0" w:space="0" w:color="auto"/>
            <w:left w:val="none" w:sz="0" w:space="0" w:color="auto"/>
            <w:bottom w:val="none" w:sz="0" w:space="0" w:color="auto"/>
            <w:right w:val="none" w:sz="0" w:space="0" w:color="auto"/>
          </w:divBdr>
          <w:divsChild>
            <w:div w:id="1006591">
              <w:marLeft w:val="0"/>
              <w:marRight w:val="0"/>
              <w:marTop w:val="0"/>
              <w:marBottom w:val="0"/>
              <w:divBdr>
                <w:top w:val="none" w:sz="0" w:space="0" w:color="auto"/>
                <w:left w:val="none" w:sz="0" w:space="0" w:color="auto"/>
                <w:bottom w:val="none" w:sz="0" w:space="0" w:color="auto"/>
                <w:right w:val="none" w:sz="0" w:space="0" w:color="auto"/>
              </w:divBdr>
              <w:divsChild>
                <w:div w:id="1181512368">
                  <w:marLeft w:val="0"/>
                  <w:marRight w:val="0"/>
                  <w:marTop w:val="0"/>
                  <w:marBottom w:val="0"/>
                  <w:divBdr>
                    <w:top w:val="none" w:sz="0" w:space="0" w:color="auto"/>
                    <w:left w:val="none" w:sz="0" w:space="0" w:color="auto"/>
                    <w:bottom w:val="none" w:sz="0" w:space="0" w:color="auto"/>
                    <w:right w:val="none" w:sz="0" w:space="0" w:color="auto"/>
                  </w:divBdr>
                  <w:divsChild>
                    <w:div w:id="8331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29923">
      <w:bodyDiv w:val="1"/>
      <w:marLeft w:val="0"/>
      <w:marRight w:val="0"/>
      <w:marTop w:val="0"/>
      <w:marBottom w:val="0"/>
      <w:divBdr>
        <w:top w:val="none" w:sz="0" w:space="0" w:color="auto"/>
        <w:left w:val="none" w:sz="0" w:space="0" w:color="auto"/>
        <w:bottom w:val="none" w:sz="0" w:space="0" w:color="auto"/>
        <w:right w:val="none" w:sz="0" w:space="0" w:color="auto"/>
      </w:divBdr>
    </w:div>
    <w:div w:id="602810146">
      <w:bodyDiv w:val="1"/>
      <w:marLeft w:val="0"/>
      <w:marRight w:val="0"/>
      <w:marTop w:val="0"/>
      <w:marBottom w:val="0"/>
      <w:divBdr>
        <w:top w:val="none" w:sz="0" w:space="0" w:color="auto"/>
        <w:left w:val="none" w:sz="0" w:space="0" w:color="auto"/>
        <w:bottom w:val="none" w:sz="0" w:space="0" w:color="auto"/>
        <w:right w:val="none" w:sz="0" w:space="0" w:color="auto"/>
      </w:divBdr>
    </w:div>
    <w:div w:id="623118930">
      <w:bodyDiv w:val="1"/>
      <w:marLeft w:val="0"/>
      <w:marRight w:val="0"/>
      <w:marTop w:val="0"/>
      <w:marBottom w:val="0"/>
      <w:divBdr>
        <w:top w:val="none" w:sz="0" w:space="0" w:color="auto"/>
        <w:left w:val="none" w:sz="0" w:space="0" w:color="auto"/>
        <w:bottom w:val="none" w:sz="0" w:space="0" w:color="auto"/>
        <w:right w:val="none" w:sz="0" w:space="0" w:color="auto"/>
      </w:divBdr>
      <w:divsChild>
        <w:div w:id="1222517076">
          <w:marLeft w:val="0"/>
          <w:marRight w:val="0"/>
          <w:marTop w:val="0"/>
          <w:marBottom w:val="0"/>
          <w:divBdr>
            <w:top w:val="none" w:sz="0" w:space="0" w:color="auto"/>
            <w:left w:val="none" w:sz="0" w:space="0" w:color="auto"/>
            <w:bottom w:val="none" w:sz="0" w:space="0" w:color="auto"/>
            <w:right w:val="none" w:sz="0" w:space="0" w:color="auto"/>
          </w:divBdr>
          <w:divsChild>
            <w:div w:id="1801534767">
              <w:marLeft w:val="0"/>
              <w:marRight w:val="0"/>
              <w:marTop w:val="0"/>
              <w:marBottom w:val="0"/>
              <w:divBdr>
                <w:top w:val="none" w:sz="0" w:space="0" w:color="auto"/>
                <w:left w:val="none" w:sz="0" w:space="0" w:color="auto"/>
                <w:bottom w:val="none" w:sz="0" w:space="0" w:color="auto"/>
                <w:right w:val="none" w:sz="0" w:space="0" w:color="auto"/>
              </w:divBdr>
              <w:divsChild>
                <w:div w:id="1078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629">
      <w:bodyDiv w:val="1"/>
      <w:marLeft w:val="0"/>
      <w:marRight w:val="0"/>
      <w:marTop w:val="0"/>
      <w:marBottom w:val="0"/>
      <w:divBdr>
        <w:top w:val="none" w:sz="0" w:space="0" w:color="auto"/>
        <w:left w:val="none" w:sz="0" w:space="0" w:color="auto"/>
        <w:bottom w:val="none" w:sz="0" w:space="0" w:color="auto"/>
        <w:right w:val="none" w:sz="0" w:space="0" w:color="auto"/>
      </w:divBdr>
    </w:div>
    <w:div w:id="641883174">
      <w:bodyDiv w:val="1"/>
      <w:marLeft w:val="0"/>
      <w:marRight w:val="0"/>
      <w:marTop w:val="0"/>
      <w:marBottom w:val="0"/>
      <w:divBdr>
        <w:top w:val="none" w:sz="0" w:space="0" w:color="auto"/>
        <w:left w:val="none" w:sz="0" w:space="0" w:color="auto"/>
        <w:bottom w:val="none" w:sz="0" w:space="0" w:color="auto"/>
        <w:right w:val="none" w:sz="0" w:space="0" w:color="auto"/>
      </w:divBdr>
    </w:div>
    <w:div w:id="648169305">
      <w:bodyDiv w:val="1"/>
      <w:marLeft w:val="0"/>
      <w:marRight w:val="0"/>
      <w:marTop w:val="0"/>
      <w:marBottom w:val="0"/>
      <w:divBdr>
        <w:top w:val="none" w:sz="0" w:space="0" w:color="auto"/>
        <w:left w:val="none" w:sz="0" w:space="0" w:color="auto"/>
        <w:bottom w:val="none" w:sz="0" w:space="0" w:color="auto"/>
        <w:right w:val="none" w:sz="0" w:space="0" w:color="auto"/>
      </w:divBdr>
    </w:div>
    <w:div w:id="655884902">
      <w:bodyDiv w:val="1"/>
      <w:marLeft w:val="0"/>
      <w:marRight w:val="0"/>
      <w:marTop w:val="0"/>
      <w:marBottom w:val="0"/>
      <w:divBdr>
        <w:top w:val="none" w:sz="0" w:space="0" w:color="auto"/>
        <w:left w:val="none" w:sz="0" w:space="0" w:color="auto"/>
        <w:bottom w:val="none" w:sz="0" w:space="0" w:color="auto"/>
        <w:right w:val="none" w:sz="0" w:space="0" w:color="auto"/>
      </w:divBdr>
    </w:div>
    <w:div w:id="674723152">
      <w:bodyDiv w:val="1"/>
      <w:marLeft w:val="0"/>
      <w:marRight w:val="0"/>
      <w:marTop w:val="0"/>
      <w:marBottom w:val="0"/>
      <w:divBdr>
        <w:top w:val="none" w:sz="0" w:space="0" w:color="auto"/>
        <w:left w:val="none" w:sz="0" w:space="0" w:color="auto"/>
        <w:bottom w:val="none" w:sz="0" w:space="0" w:color="auto"/>
        <w:right w:val="none" w:sz="0" w:space="0" w:color="auto"/>
      </w:divBdr>
    </w:div>
    <w:div w:id="693112849">
      <w:bodyDiv w:val="1"/>
      <w:marLeft w:val="0"/>
      <w:marRight w:val="0"/>
      <w:marTop w:val="0"/>
      <w:marBottom w:val="0"/>
      <w:divBdr>
        <w:top w:val="none" w:sz="0" w:space="0" w:color="auto"/>
        <w:left w:val="none" w:sz="0" w:space="0" w:color="auto"/>
        <w:bottom w:val="none" w:sz="0" w:space="0" w:color="auto"/>
        <w:right w:val="none" w:sz="0" w:space="0" w:color="auto"/>
      </w:divBdr>
    </w:div>
    <w:div w:id="738289504">
      <w:bodyDiv w:val="1"/>
      <w:marLeft w:val="0"/>
      <w:marRight w:val="0"/>
      <w:marTop w:val="0"/>
      <w:marBottom w:val="0"/>
      <w:divBdr>
        <w:top w:val="none" w:sz="0" w:space="0" w:color="auto"/>
        <w:left w:val="none" w:sz="0" w:space="0" w:color="auto"/>
        <w:bottom w:val="none" w:sz="0" w:space="0" w:color="auto"/>
        <w:right w:val="none" w:sz="0" w:space="0" w:color="auto"/>
      </w:divBdr>
    </w:div>
    <w:div w:id="743138485">
      <w:bodyDiv w:val="1"/>
      <w:marLeft w:val="0"/>
      <w:marRight w:val="0"/>
      <w:marTop w:val="0"/>
      <w:marBottom w:val="0"/>
      <w:divBdr>
        <w:top w:val="none" w:sz="0" w:space="0" w:color="auto"/>
        <w:left w:val="none" w:sz="0" w:space="0" w:color="auto"/>
        <w:bottom w:val="none" w:sz="0" w:space="0" w:color="auto"/>
        <w:right w:val="none" w:sz="0" w:space="0" w:color="auto"/>
      </w:divBdr>
    </w:div>
    <w:div w:id="743143513">
      <w:bodyDiv w:val="1"/>
      <w:marLeft w:val="0"/>
      <w:marRight w:val="0"/>
      <w:marTop w:val="0"/>
      <w:marBottom w:val="0"/>
      <w:divBdr>
        <w:top w:val="none" w:sz="0" w:space="0" w:color="auto"/>
        <w:left w:val="none" w:sz="0" w:space="0" w:color="auto"/>
        <w:bottom w:val="none" w:sz="0" w:space="0" w:color="auto"/>
        <w:right w:val="none" w:sz="0" w:space="0" w:color="auto"/>
      </w:divBdr>
      <w:divsChild>
        <w:div w:id="1526480544">
          <w:marLeft w:val="0"/>
          <w:marRight w:val="0"/>
          <w:marTop w:val="0"/>
          <w:marBottom w:val="0"/>
          <w:divBdr>
            <w:top w:val="none" w:sz="0" w:space="0" w:color="auto"/>
            <w:left w:val="none" w:sz="0" w:space="0" w:color="auto"/>
            <w:bottom w:val="none" w:sz="0" w:space="0" w:color="auto"/>
            <w:right w:val="none" w:sz="0" w:space="0" w:color="auto"/>
          </w:divBdr>
          <w:divsChild>
            <w:div w:id="185993079">
              <w:marLeft w:val="0"/>
              <w:marRight w:val="0"/>
              <w:marTop w:val="0"/>
              <w:marBottom w:val="0"/>
              <w:divBdr>
                <w:top w:val="none" w:sz="0" w:space="0" w:color="auto"/>
                <w:left w:val="none" w:sz="0" w:space="0" w:color="auto"/>
                <w:bottom w:val="none" w:sz="0" w:space="0" w:color="auto"/>
                <w:right w:val="none" w:sz="0" w:space="0" w:color="auto"/>
              </w:divBdr>
              <w:divsChild>
                <w:div w:id="729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3353">
      <w:bodyDiv w:val="1"/>
      <w:marLeft w:val="0"/>
      <w:marRight w:val="0"/>
      <w:marTop w:val="0"/>
      <w:marBottom w:val="0"/>
      <w:divBdr>
        <w:top w:val="none" w:sz="0" w:space="0" w:color="auto"/>
        <w:left w:val="none" w:sz="0" w:space="0" w:color="auto"/>
        <w:bottom w:val="none" w:sz="0" w:space="0" w:color="auto"/>
        <w:right w:val="none" w:sz="0" w:space="0" w:color="auto"/>
      </w:divBdr>
    </w:div>
    <w:div w:id="780881979">
      <w:bodyDiv w:val="1"/>
      <w:marLeft w:val="0"/>
      <w:marRight w:val="0"/>
      <w:marTop w:val="0"/>
      <w:marBottom w:val="0"/>
      <w:divBdr>
        <w:top w:val="none" w:sz="0" w:space="0" w:color="auto"/>
        <w:left w:val="none" w:sz="0" w:space="0" w:color="auto"/>
        <w:bottom w:val="none" w:sz="0" w:space="0" w:color="auto"/>
        <w:right w:val="none" w:sz="0" w:space="0" w:color="auto"/>
      </w:divBdr>
      <w:divsChild>
        <w:div w:id="1215658911">
          <w:marLeft w:val="0"/>
          <w:marRight w:val="0"/>
          <w:marTop w:val="0"/>
          <w:marBottom w:val="0"/>
          <w:divBdr>
            <w:top w:val="none" w:sz="0" w:space="0" w:color="auto"/>
            <w:left w:val="none" w:sz="0" w:space="0" w:color="auto"/>
            <w:bottom w:val="none" w:sz="0" w:space="0" w:color="auto"/>
            <w:right w:val="none" w:sz="0" w:space="0" w:color="auto"/>
          </w:divBdr>
          <w:divsChild>
            <w:div w:id="487984744">
              <w:marLeft w:val="0"/>
              <w:marRight w:val="0"/>
              <w:marTop w:val="0"/>
              <w:marBottom w:val="0"/>
              <w:divBdr>
                <w:top w:val="none" w:sz="0" w:space="0" w:color="auto"/>
                <w:left w:val="none" w:sz="0" w:space="0" w:color="auto"/>
                <w:bottom w:val="none" w:sz="0" w:space="0" w:color="auto"/>
                <w:right w:val="none" w:sz="0" w:space="0" w:color="auto"/>
              </w:divBdr>
              <w:divsChild>
                <w:div w:id="33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4039">
      <w:bodyDiv w:val="1"/>
      <w:marLeft w:val="0"/>
      <w:marRight w:val="0"/>
      <w:marTop w:val="0"/>
      <w:marBottom w:val="0"/>
      <w:divBdr>
        <w:top w:val="none" w:sz="0" w:space="0" w:color="auto"/>
        <w:left w:val="none" w:sz="0" w:space="0" w:color="auto"/>
        <w:bottom w:val="none" w:sz="0" w:space="0" w:color="auto"/>
        <w:right w:val="none" w:sz="0" w:space="0" w:color="auto"/>
      </w:divBdr>
      <w:divsChild>
        <w:div w:id="2009406430">
          <w:marLeft w:val="0"/>
          <w:marRight w:val="0"/>
          <w:marTop w:val="0"/>
          <w:marBottom w:val="0"/>
          <w:divBdr>
            <w:top w:val="none" w:sz="0" w:space="0" w:color="auto"/>
            <w:left w:val="none" w:sz="0" w:space="0" w:color="auto"/>
            <w:bottom w:val="none" w:sz="0" w:space="0" w:color="auto"/>
            <w:right w:val="none" w:sz="0" w:space="0" w:color="auto"/>
          </w:divBdr>
          <w:divsChild>
            <w:div w:id="1286614806">
              <w:marLeft w:val="0"/>
              <w:marRight w:val="0"/>
              <w:marTop w:val="0"/>
              <w:marBottom w:val="0"/>
              <w:divBdr>
                <w:top w:val="none" w:sz="0" w:space="0" w:color="auto"/>
                <w:left w:val="none" w:sz="0" w:space="0" w:color="auto"/>
                <w:bottom w:val="none" w:sz="0" w:space="0" w:color="auto"/>
                <w:right w:val="none" w:sz="0" w:space="0" w:color="auto"/>
              </w:divBdr>
              <w:divsChild>
                <w:div w:id="2135437150">
                  <w:marLeft w:val="0"/>
                  <w:marRight w:val="0"/>
                  <w:marTop w:val="0"/>
                  <w:marBottom w:val="0"/>
                  <w:divBdr>
                    <w:top w:val="none" w:sz="0" w:space="0" w:color="auto"/>
                    <w:left w:val="none" w:sz="0" w:space="0" w:color="auto"/>
                    <w:bottom w:val="none" w:sz="0" w:space="0" w:color="auto"/>
                    <w:right w:val="none" w:sz="0" w:space="0" w:color="auto"/>
                  </w:divBdr>
                  <w:divsChild>
                    <w:div w:id="3697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3460">
      <w:bodyDiv w:val="1"/>
      <w:marLeft w:val="0"/>
      <w:marRight w:val="0"/>
      <w:marTop w:val="0"/>
      <w:marBottom w:val="0"/>
      <w:divBdr>
        <w:top w:val="none" w:sz="0" w:space="0" w:color="auto"/>
        <w:left w:val="none" w:sz="0" w:space="0" w:color="auto"/>
        <w:bottom w:val="none" w:sz="0" w:space="0" w:color="auto"/>
        <w:right w:val="none" w:sz="0" w:space="0" w:color="auto"/>
      </w:divBdr>
    </w:div>
    <w:div w:id="840780107">
      <w:bodyDiv w:val="1"/>
      <w:marLeft w:val="0"/>
      <w:marRight w:val="0"/>
      <w:marTop w:val="0"/>
      <w:marBottom w:val="0"/>
      <w:divBdr>
        <w:top w:val="none" w:sz="0" w:space="0" w:color="auto"/>
        <w:left w:val="none" w:sz="0" w:space="0" w:color="auto"/>
        <w:bottom w:val="none" w:sz="0" w:space="0" w:color="auto"/>
        <w:right w:val="none" w:sz="0" w:space="0" w:color="auto"/>
      </w:divBdr>
    </w:div>
    <w:div w:id="865098153">
      <w:bodyDiv w:val="1"/>
      <w:marLeft w:val="0"/>
      <w:marRight w:val="0"/>
      <w:marTop w:val="0"/>
      <w:marBottom w:val="0"/>
      <w:divBdr>
        <w:top w:val="none" w:sz="0" w:space="0" w:color="auto"/>
        <w:left w:val="none" w:sz="0" w:space="0" w:color="auto"/>
        <w:bottom w:val="none" w:sz="0" w:space="0" w:color="auto"/>
        <w:right w:val="none" w:sz="0" w:space="0" w:color="auto"/>
      </w:divBdr>
    </w:div>
    <w:div w:id="878784609">
      <w:bodyDiv w:val="1"/>
      <w:marLeft w:val="0"/>
      <w:marRight w:val="0"/>
      <w:marTop w:val="0"/>
      <w:marBottom w:val="0"/>
      <w:divBdr>
        <w:top w:val="none" w:sz="0" w:space="0" w:color="auto"/>
        <w:left w:val="none" w:sz="0" w:space="0" w:color="auto"/>
        <w:bottom w:val="none" w:sz="0" w:space="0" w:color="auto"/>
        <w:right w:val="none" w:sz="0" w:space="0" w:color="auto"/>
      </w:divBdr>
      <w:divsChild>
        <w:div w:id="2031563090">
          <w:marLeft w:val="0"/>
          <w:marRight w:val="0"/>
          <w:marTop w:val="0"/>
          <w:marBottom w:val="0"/>
          <w:divBdr>
            <w:top w:val="none" w:sz="0" w:space="0" w:color="auto"/>
            <w:left w:val="none" w:sz="0" w:space="0" w:color="auto"/>
            <w:bottom w:val="none" w:sz="0" w:space="0" w:color="auto"/>
            <w:right w:val="none" w:sz="0" w:space="0" w:color="auto"/>
          </w:divBdr>
          <w:divsChild>
            <w:div w:id="568156920">
              <w:marLeft w:val="0"/>
              <w:marRight w:val="0"/>
              <w:marTop w:val="0"/>
              <w:marBottom w:val="0"/>
              <w:divBdr>
                <w:top w:val="none" w:sz="0" w:space="0" w:color="auto"/>
                <w:left w:val="none" w:sz="0" w:space="0" w:color="auto"/>
                <w:bottom w:val="none" w:sz="0" w:space="0" w:color="auto"/>
                <w:right w:val="none" w:sz="0" w:space="0" w:color="auto"/>
              </w:divBdr>
              <w:divsChild>
                <w:div w:id="20434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73605">
      <w:bodyDiv w:val="1"/>
      <w:marLeft w:val="0"/>
      <w:marRight w:val="0"/>
      <w:marTop w:val="0"/>
      <w:marBottom w:val="0"/>
      <w:divBdr>
        <w:top w:val="none" w:sz="0" w:space="0" w:color="auto"/>
        <w:left w:val="none" w:sz="0" w:space="0" w:color="auto"/>
        <w:bottom w:val="none" w:sz="0" w:space="0" w:color="auto"/>
        <w:right w:val="none" w:sz="0" w:space="0" w:color="auto"/>
      </w:divBdr>
      <w:divsChild>
        <w:div w:id="1798796708">
          <w:marLeft w:val="0"/>
          <w:marRight w:val="0"/>
          <w:marTop w:val="0"/>
          <w:marBottom w:val="0"/>
          <w:divBdr>
            <w:top w:val="none" w:sz="0" w:space="0" w:color="auto"/>
            <w:left w:val="none" w:sz="0" w:space="0" w:color="auto"/>
            <w:bottom w:val="none" w:sz="0" w:space="0" w:color="auto"/>
            <w:right w:val="none" w:sz="0" w:space="0" w:color="auto"/>
          </w:divBdr>
          <w:divsChild>
            <w:div w:id="2078015801">
              <w:marLeft w:val="0"/>
              <w:marRight w:val="0"/>
              <w:marTop w:val="0"/>
              <w:marBottom w:val="0"/>
              <w:divBdr>
                <w:top w:val="none" w:sz="0" w:space="0" w:color="auto"/>
                <w:left w:val="none" w:sz="0" w:space="0" w:color="auto"/>
                <w:bottom w:val="none" w:sz="0" w:space="0" w:color="auto"/>
                <w:right w:val="none" w:sz="0" w:space="0" w:color="auto"/>
              </w:divBdr>
              <w:divsChild>
                <w:div w:id="20041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415">
      <w:bodyDiv w:val="1"/>
      <w:marLeft w:val="0"/>
      <w:marRight w:val="0"/>
      <w:marTop w:val="0"/>
      <w:marBottom w:val="0"/>
      <w:divBdr>
        <w:top w:val="none" w:sz="0" w:space="0" w:color="auto"/>
        <w:left w:val="none" w:sz="0" w:space="0" w:color="auto"/>
        <w:bottom w:val="none" w:sz="0" w:space="0" w:color="auto"/>
        <w:right w:val="none" w:sz="0" w:space="0" w:color="auto"/>
      </w:divBdr>
    </w:div>
    <w:div w:id="952054115">
      <w:bodyDiv w:val="1"/>
      <w:marLeft w:val="0"/>
      <w:marRight w:val="0"/>
      <w:marTop w:val="0"/>
      <w:marBottom w:val="0"/>
      <w:divBdr>
        <w:top w:val="none" w:sz="0" w:space="0" w:color="auto"/>
        <w:left w:val="none" w:sz="0" w:space="0" w:color="auto"/>
        <w:bottom w:val="none" w:sz="0" w:space="0" w:color="auto"/>
        <w:right w:val="none" w:sz="0" w:space="0" w:color="auto"/>
      </w:divBdr>
      <w:divsChild>
        <w:div w:id="2112360394">
          <w:marLeft w:val="0"/>
          <w:marRight w:val="0"/>
          <w:marTop w:val="0"/>
          <w:marBottom w:val="0"/>
          <w:divBdr>
            <w:top w:val="none" w:sz="0" w:space="0" w:color="auto"/>
            <w:left w:val="none" w:sz="0" w:space="0" w:color="auto"/>
            <w:bottom w:val="none" w:sz="0" w:space="0" w:color="auto"/>
            <w:right w:val="none" w:sz="0" w:space="0" w:color="auto"/>
          </w:divBdr>
          <w:divsChild>
            <w:div w:id="1817795870">
              <w:marLeft w:val="0"/>
              <w:marRight w:val="0"/>
              <w:marTop w:val="0"/>
              <w:marBottom w:val="0"/>
              <w:divBdr>
                <w:top w:val="none" w:sz="0" w:space="0" w:color="auto"/>
                <w:left w:val="none" w:sz="0" w:space="0" w:color="auto"/>
                <w:bottom w:val="none" w:sz="0" w:space="0" w:color="auto"/>
                <w:right w:val="none" w:sz="0" w:space="0" w:color="auto"/>
              </w:divBdr>
              <w:divsChild>
                <w:div w:id="1608540690">
                  <w:marLeft w:val="0"/>
                  <w:marRight w:val="0"/>
                  <w:marTop w:val="0"/>
                  <w:marBottom w:val="0"/>
                  <w:divBdr>
                    <w:top w:val="none" w:sz="0" w:space="0" w:color="auto"/>
                    <w:left w:val="none" w:sz="0" w:space="0" w:color="auto"/>
                    <w:bottom w:val="none" w:sz="0" w:space="0" w:color="auto"/>
                    <w:right w:val="none" w:sz="0" w:space="0" w:color="auto"/>
                  </w:divBdr>
                  <w:divsChild>
                    <w:div w:id="1229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91256">
      <w:bodyDiv w:val="1"/>
      <w:marLeft w:val="0"/>
      <w:marRight w:val="0"/>
      <w:marTop w:val="0"/>
      <w:marBottom w:val="0"/>
      <w:divBdr>
        <w:top w:val="none" w:sz="0" w:space="0" w:color="auto"/>
        <w:left w:val="none" w:sz="0" w:space="0" w:color="auto"/>
        <w:bottom w:val="none" w:sz="0" w:space="0" w:color="auto"/>
        <w:right w:val="none" w:sz="0" w:space="0" w:color="auto"/>
      </w:divBdr>
      <w:divsChild>
        <w:div w:id="45379103">
          <w:marLeft w:val="0"/>
          <w:marRight w:val="0"/>
          <w:marTop w:val="0"/>
          <w:marBottom w:val="0"/>
          <w:divBdr>
            <w:top w:val="none" w:sz="0" w:space="0" w:color="auto"/>
            <w:left w:val="none" w:sz="0" w:space="0" w:color="auto"/>
            <w:bottom w:val="none" w:sz="0" w:space="0" w:color="auto"/>
            <w:right w:val="none" w:sz="0" w:space="0" w:color="auto"/>
          </w:divBdr>
          <w:divsChild>
            <w:div w:id="172494899">
              <w:marLeft w:val="0"/>
              <w:marRight w:val="0"/>
              <w:marTop w:val="0"/>
              <w:marBottom w:val="0"/>
              <w:divBdr>
                <w:top w:val="none" w:sz="0" w:space="0" w:color="auto"/>
                <w:left w:val="none" w:sz="0" w:space="0" w:color="auto"/>
                <w:bottom w:val="none" w:sz="0" w:space="0" w:color="auto"/>
                <w:right w:val="none" w:sz="0" w:space="0" w:color="auto"/>
              </w:divBdr>
              <w:divsChild>
                <w:div w:id="1271862734">
                  <w:marLeft w:val="0"/>
                  <w:marRight w:val="0"/>
                  <w:marTop w:val="0"/>
                  <w:marBottom w:val="0"/>
                  <w:divBdr>
                    <w:top w:val="none" w:sz="0" w:space="0" w:color="auto"/>
                    <w:left w:val="none" w:sz="0" w:space="0" w:color="auto"/>
                    <w:bottom w:val="none" w:sz="0" w:space="0" w:color="auto"/>
                    <w:right w:val="none" w:sz="0" w:space="0" w:color="auto"/>
                  </w:divBdr>
                  <w:divsChild>
                    <w:div w:id="20297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3495">
      <w:bodyDiv w:val="1"/>
      <w:marLeft w:val="0"/>
      <w:marRight w:val="0"/>
      <w:marTop w:val="0"/>
      <w:marBottom w:val="0"/>
      <w:divBdr>
        <w:top w:val="none" w:sz="0" w:space="0" w:color="auto"/>
        <w:left w:val="none" w:sz="0" w:space="0" w:color="auto"/>
        <w:bottom w:val="none" w:sz="0" w:space="0" w:color="auto"/>
        <w:right w:val="none" w:sz="0" w:space="0" w:color="auto"/>
      </w:divBdr>
      <w:divsChild>
        <w:div w:id="734821319">
          <w:marLeft w:val="0"/>
          <w:marRight w:val="0"/>
          <w:marTop w:val="0"/>
          <w:marBottom w:val="0"/>
          <w:divBdr>
            <w:top w:val="none" w:sz="0" w:space="0" w:color="auto"/>
            <w:left w:val="none" w:sz="0" w:space="0" w:color="auto"/>
            <w:bottom w:val="none" w:sz="0" w:space="0" w:color="auto"/>
            <w:right w:val="none" w:sz="0" w:space="0" w:color="auto"/>
          </w:divBdr>
          <w:divsChild>
            <w:div w:id="512259134">
              <w:marLeft w:val="0"/>
              <w:marRight w:val="0"/>
              <w:marTop w:val="0"/>
              <w:marBottom w:val="0"/>
              <w:divBdr>
                <w:top w:val="none" w:sz="0" w:space="0" w:color="auto"/>
                <w:left w:val="none" w:sz="0" w:space="0" w:color="auto"/>
                <w:bottom w:val="none" w:sz="0" w:space="0" w:color="auto"/>
                <w:right w:val="none" w:sz="0" w:space="0" w:color="auto"/>
              </w:divBdr>
              <w:divsChild>
                <w:div w:id="4362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0949">
      <w:bodyDiv w:val="1"/>
      <w:marLeft w:val="0"/>
      <w:marRight w:val="0"/>
      <w:marTop w:val="0"/>
      <w:marBottom w:val="0"/>
      <w:divBdr>
        <w:top w:val="none" w:sz="0" w:space="0" w:color="auto"/>
        <w:left w:val="none" w:sz="0" w:space="0" w:color="auto"/>
        <w:bottom w:val="none" w:sz="0" w:space="0" w:color="auto"/>
        <w:right w:val="none" w:sz="0" w:space="0" w:color="auto"/>
      </w:divBdr>
    </w:div>
    <w:div w:id="1029454732">
      <w:bodyDiv w:val="1"/>
      <w:marLeft w:val="0"/>
      <w:marRight w:val="0"/>
      <w:marTop w:val="0"/>
      <w:marBottom w:val="0"/>
      <w:divBdr>
        <w:top w:val="none" w:sz="0" w:space="0" w:color="auto"/>
        <w:left w:val="none" w:sz="0" w:space="0" w:color="auto"/>
        <w:bottom w:val="none" w:sz="0" w:space="0" w:color="auto"/>
        <w:right w:val="none" w:sz="0" w:space="0" w:color="auto"/>
      </w:divBdr>
    </w:div>
    <w:div w:id="1030765047">
      <w:bodyDiv w:val="1"/>
      <w:marLeft w:val="0"/>
      <w:marRight w:val="0"/>
      <w:marTop w:val="0"/>
      <w:marBottom w:val="0"/>
      <w:divBdr>
        <w:top w:val="none" w:sz="0" w:space="0" w:color="auto"/>
        <w:left w:val="none" w:sz="0" w:space="0" w:color="auto"/>
        <w:bottom w:val="none" w:sz="0" w:space="0" w:color="auto"/>
        <w:right w:val="none" w:sz="0" w:space="0" w:color="auto"/>
      </w:divBdr>
      <w:divsChild>
        <w:div w:id="605619145">
          <w:marLeft w:val="0"/>
          <w:marRight w:val="0"/>
          <w:marTop w:val="0"/>
          <w:marBottom w:val="0"/>
          <w:divBdr>
            <w:top w:val="none" w:sz="0" w:space="0" w:color="auto"/>
            <w:left w:val="none" w:sz="0" w:space="0" w:color="auto"/>
            <w:bottom w:val="none" w:sz="0" w:space="0" w:color="auto"/>
            <w:right w:val="none" w:sz="0" w:space="0" w:color="auto"/>
          </w:divBdr>
          <w:divsChild>
            <w:div w:id="1178428597">
              <w:marLeft w:val="0"/>
              <w:marRight w:val="0"/>
              <w:marTop w:val="0"/>
              <w:marBottom w:val="0"/>
              <w:divBdr>
                <w:top w:val="none" w:sz="0" w:space="0" w:color="auto"/>
                <w:left w:val="none" w:sz="0" w:space="0" w:color="auto"/>
                <w:bottom w:val="none" w:sz="0" w:space="0" w:color="auto"/>
                <w:right w:val="none" w:sz="0" w:space="0" w:color="auto"/>
              </w:divBdr>
              <w:divsChild>
                <w:div w:id="210580188">
                  <w:marLeft w:val="0"/>
                  <w:marRight w:val="0"/>
                  <w:marTop w:val="0"/>
                  <w:marBottom w:val="0"/>
                  <w:divBdr>
                    <w:top w:val="none" w:sz="0" w:space="0" w:color="auto"/>
                    <w:left w:val="none" w:sz="0" w:space="0" w:color="auto"/>
                    <w:bottom w:val="none" w:sz="0" w:space="0" w:color="auto"/>
                    <w:right w:val="none" w:sz="0" w:space="0" w:color="auto"/>
                  </w:divBdr>
                  <w:divsChild>
                    <w:div w:id="3370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5406">
      <w:bodyDiv w:val="1"/>
      <w:marLeft w:val="0"/>
      <w:marRight w:val="0"/>
      <w:marTop w:val="0"/>
      <w:marBottom w:val="0"/>
      <w:divBdr>
        <w:top w:val="none" w:sz="0" w:space="0" w:color="auto"/>
        <w:left w:val="none" w:sz="0" w:space="0" w:color="auto"/>
        <w:bottom w:val="none" w:sz="0" w:space="0" w:color="auto"/>
        <w:right w:val="none" w:sz="0" w:space="0" w:color="auto"/>
      </w:divBdr>
    </w:div>
    <w:div w:id="1048410664">
      <w:bodyDiv w:val="1"/>
      <w:marLeft w:val="0"/>
      <w:marRight w:val="0"/>
      <w:marTop w:val="0"/>
      <w:marBottom w:val="0"/>
      <w:divBdr>
        <w:top w:val="none" w:sz="0" w:space="0" w:color="auto"/>
        <w:left w:val="none" w:sz="0" w:space="0" w:color="auto"/>
        <w:bottom w:val="none" w:sz="0" w:space="0" w:color="auto"/>
        <w:right w:val="none" w:sz="0" w:space="0" w:color="auto"/>
      </w:divBdr>
      <w:divsChild>
        <w:div w:id="203641656">
          <w:marLeft w:val="0"/>
          <w:marRight w:val="0"/>
          <w:marTop w:val="0"/>
          <w:marBottom w:val="0"/>
          <w:divBdr>
            <w:top w:val="none" w:sz="0" w:space="0" w:color="auto"/>
            <w:left w:val="none" w:sz="0" w:space="0" w:color="auto"/>
            <w:bottom w:val="none" w:sz="0" w:space="0" w:color="auto"/>
            <w:right w:val="none" w:sz="0" w:space="0" w:color="auto"/>
          </w:divBdr>
          <w:divsChild>
            <w:div w:id="938298130">
              <w:marLeft w:val="0"/>
              <w:marRight w:val="0"/>
              <w:marTop w:val="0"/>
              <w:marBottom w:val="0"/>
              <w:divBdr>
                <w:top w:val="none" w:sz="0" w:space="0" w:color="auto"/>
                <w:left w:val="none" w:sz="0" w:space="0" w:color="auto"/>
                <w:bottom w:val="none" w:sz="0" w:space="0" w:color="auto"/>
                <w:right w:val="none" w:sz="0" w:space="0" w:color="auto"/>
              </w:divBdr>
              <w:divsChild>
                <w:div w:id="1298875872">
                  <w:marLeft w:val="0"/>
                  <w:marRight w:val="0"/>
                  <w:marTop w:val="0"/>
                  <w:marBottom w:val="0"/>
                  <w:divBdr>
                    <w:top w:val="none" w:sz="0" w:space="0" w:color="auto"/>
                    <w:left w:val="none" w:sz="0" w:space="0" w:color="auto"/>
                    <w:bottom w:val="none" w:sz="0" w:space="0" w:color="auto"/>
                    <w:right w:val="none" w:sz="0" w:space="0" w:color="auto"/>
                  </w:divBdr>
                  <w:divsChild>
                    <w:div w:id="1764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33486">
      <w:bodyDiv w:val="1"/>
      <w:marLeft w:val="0"/>
      <w:marRight w:val="0"/>
      <w:marTop w:val="0"/>
      <w:marBottom w:val="0"/>
      <w:divBdr>
        <w:top w:val="none" w:sz="0" w:space="0" w:color="auto"/>
        <w:left w:val="none" w:sz="0" w:space="0" w:color="auto"/>
        <w:bottom w:val="none" w:sz="0" w:space="0" w:color="auto"/>
        <w:right w:val="none" w:sz="0" w:space="0" w:color="auto"/>
      </w:divBdr>
    </w:div>
    <w:div w:id="1060206522">
      <w:bodyDiv w:val="1"/>
      <w:marLeft w:val="0"/>
      <w:marRight w:val="0"/>
      <w:marTop w:val="0"/>
      <w:marBottom w:val="0"/>
      <w:divBdr>
        <w:top w:val="none" w:sz="0" w:space="0" w:color="auto"/>
        <w:left w:val="none" w:sz="0" w:space="0" w:color="auto"/>
        <w:bottom w:val="none" w:sz="0" w:space="0" w:color="auto"/>
        <w:right w:val="none" w:sz="0" w:space="0" w:color="auto"/>
      </w:divBdr>
    </w:div>
    <w:div w:id="1123843379">
      <w:bodyDiv w:val="1"/>
      <w:marLeft w:val="0"/>
      <w:marRight w:val="0"/>
      <w:marTop w:val="0"/>
      <w:marBottom w:val="0"/>
      <w:divBdr>
        <w:top w:val="none" w:sz="0" w:space="0" w:color="auto"/>
        <w:left w:val="none" w:sz="0" w:space="0" w:color="auto"/>
        <w:bottom w:val="none" w:sz="0" w:space="0" w:color="auto"/>
        <w:right w:val="none" w:sz="0" w:space="0" w:color="auto"/>
      </w:divBdr>
      <w:divsChild>
        <w:div w:id="1082990299">
          <w:marLeft w:val="0"/>
          <w:marRight w:val="0"/>
          <w:marTop w:val="0"/>
          <w:marBottom w:val="0"/>
          <w:divBdr>
            <w:top w:val="none" w:sz="0" w:space="0" w:color="auto"/>
            <w:left w:val="none" w:sz="0" w:space="0" w:color="auto"/>
            <w:bottom w:val="none" w:sz="0" w:space="0" w:color="auto"/>
            <w:right w:val="none" w:sz="0" w:space="0" w:color="auto"/>
          </w:divBdr>
          <w:divsChild>
            <w:div w:id="1418022002">
              <w:marLeft w:val="0"/>
              <w:marRight w:val="0"/>
              <w:marTop w:val="0"/>
              <w:marBottom w:val="0"/>
              <w:divBdr>
                <w:top w:val="none" w:sz="0" w:space="0" w:color="auto"/>
                <w:left w:val="none" w:sz="0" w:space="0" w:color="auto"/>
                <w:bottom w:val="none" w:sz="0" w:space="0" w:color="auto"/>
                <w:right w:val="none" w:sz="0" w:space="0" w:color="auto"/>
              </w:divBdr>
              <w:divsChild>
                <w:div w:id="18643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8055">
      <w:bodyDiv w:val="1"/>
      <w:marLeft w:val="0"/>
      <w:marRight w:val="0"/>
      <w:marTop w:val="0"/>
      <w:marBottom w:val="0"/>
      <w:divBdr>
        <w:top w:val="none" w:sz="0" w:space="0" w:color="auto"/>
        <w:left w:val="none" w:sz="0" w:space="0" w:color="auto"/>
        <w:bottom w:val="none" w:sz="0" w:space="0" w:color="auto"/>
        <w:right w:val="none" w:sz="0" w:space="0" w:color="auto"/>
      </w:divBdr>
    </w:div>
    <w:div w:id="1151630881">
      <w:bodyDiv w:val="1"/>
      <w:marLeft w:val="0"/>
      <w:marRight w:val="0"/>
      <w:marTop w:val="0"/>
      <w:marBottom w:val="0"/>
      <w:divBdr>
        <w:top w:val="none" w:sz="0" w:space="0" w:color="auto"/>
        <w:left w:val="none" w:sz="0" w:space="0" w:color="auto"/>
        <w:bottom w:val="none" w:sz="0" w:space="0" w:color="auto"/>
        <w:right w:val="none" w:sz="0" w:space="0" w:color="auto"/>
      </w:divBdr>
      <w:divsChild>
        <w:div w:id="2107385694">
          <w:marLeft w:val="0"/>
          <w:marRight w:val="0"/>
          <w:marTop w:val="0"/>
          <w:marBottom w:val="0"/>
          <w:divBdr>
            <w:top w:val="none" w:sz="0" w:space="0" w:color="auto"/>
            <w:left w:val="none" w:sz="0" w:space="0" w:color="auto"/>
            <w:bottom w:val="none" w:sz="0" w:space="0" w:color="auto"/>
            <w:right w:val="none" w:sz="0" w:space="0" w:color="auto"/>
          </w:divBdr>
          <w:divsChild>
            <w:div w:id="549540449">
              <w:marLeft w:val="0"/>
              <w:marRight w:val="0"/>
              <w:marTop w:val="0"/>
              <w:marBottom w:val="0"/>
              <w:divBdr>
                <w:top w:val="none" w:sz="0" w:space="0" w:color="auto"/>
                <w:left w:val="none" w:sz="0" w:space="0" w:color="auto"/>
                <w:bottom w:val="none" w:sz="0" w:space="0" w:color="auto"/>
                <w:right w:val="none" w:sz="0" w:space="0" w:color="auto"/>
              </w:divBdr>
              <w:divsChild>
                <w:div w:id="394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18448">
      <w:bodyDiv w:val="1"/>
      <w:marLeft w:val="0"/>
      <w:marRight w:val="0"/>
      <w:marTop w:val="0"/>
      <w:marBottom w:val="0"/>
      <w:divBdr>
        <w:top w:val="none" w:sz="0" w:space="0" w:color="auto"/>
        <w:left w:val="none" w:sz="0" w:space="0" w:color="auto"/>
        <w:bottom w:val="none" w:sz="0" w:space="0" w:color="auto"/>
        <w:right w:val="none" w:sz="0" w:space="0" w:color="auto"/>
      </w:divBdr>
    </w:div>
    <w:div w:id="1180774993">
      <w:bodyDiv w:val="1"/>
      <w:marLeft w:val="0"/>
      <w:marRight w:val="0"/>
      <w:marTop w:val="0"/>
      <w:marBottom w:val="0"/>
      <w:divBdr>
        <w:top w:val="none" w:sz="0" w:space="0" w:color="auto"/>
        <w:left w:val="none" w:sz="0" w:space="0" w:color="auto"/>
        <w:bottom w:val="none" w:sz="0" w:space="0" w:color="auto"/>
        <w:right w:val="none" w:sz="0" w:space="0" w:color="auto"/>
      </w:divBdr>
    </w:div>
    <w:div w:id="1189293874">
      <w:bodyDiv w:val="1"/>
      <w:marLeft w:val="0"/>
      <w:marRight w:val="0"/>
      <w:marTop w:val="0"/>
      <w:marBottom w:val="0"/>
      <w:divBdr>
        <w:top w:val="none" w:sz="0" w:space="0" w:color="auto"/>
        <w:left w:val="none" w:sz="0" w:space="0" w:color="auto"/>
        <w:bottom w:val="none" w:sz="0" w:space="0" w:color="auto"/>
        <w:right w:val="none" w:sz="0" w:space="0" w:color="auto"/>
      </w:divBdr>
    </w:div>
    <w:div w:id="1190684231">
      <w:bodyDiv w:val="1"/>
      <w:marLeft w:val="0"/>
      <w:marRight w:val="0"/>
      <w:marTop w:val="0"/>
      <w:marBottom w:val="0"/>
      <w:divBdr>
        <w:top w:val="none" w:sz="0" w:space="0" w:color="auto"/>
        <w:left w:val="none" w:sz="0" w:space="0" w:color="auto"/>
        <w:bottom w:val="none" w:sz="0" w:space="0" w:color="auto"/>
        <w:right w:val="none" w:sz="0" w:space="0" w:color="auto"/>
      </w:divBdr>
      <w:divsChild>
        <w:div w:id="478113074">
          <w:marLeft w:val="0"/>
          <w:marRight w:val="0"/>
          <w:marTop w:val="0"/>
          <w:marBottom w:val="0"/>
          <w:divBdr>
            <w:top w:val="none" w:sz="0" w:space="0" w:color="auto"/>
            <w:left w:val="none" w:sz="0" w:space="0" w:color="auto"/>
            <w:bottom w:val="none" w:sz="0" w:space="0" w:color="auto"/>
            <w:right w:val="none" w:sz="0" w:space="0" w:color="auto"/>
          </w:divBdr>
          <w:divsChild>
            <w:div w:id="1785929471">
              <w:marLeft w:val="0"/>
              <w:marRight w:val="0"/>
              <w:marTop w:val="0"/>
              <w:marBottom w:val="0"/>
              <w:divBdr>
                <w:top w:val="none" w:sz="0" w:space="0" w:color="auto"/>
                <w:left w:val="none" w:sz="0" w:space="0" w:color="auto"/>
                <w:bottom w:val="none" w:sz="0" w:space="0" w:color="auto"/>
                <w:right w:val="none" w:sz="0" w:space="0" w:color="auto"/>
              </w:divBdr>
              <w:divsChild>
                <w:div w:id="21458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6364">
      <w:bodyDiv w:val="1"/>
      <w:marLeft w:val="0"/>
      <w:marRight w:val="0"/>
      <w:marTop w:val="0"/>
      <w:marBottom w:val="0"/>
      <w:divBdr>
        <w:top w:val="none" w:sz="0" w:space="0" w:color="auto"/>
        <w:left w:val="none" w:sz="0" w:space="0" w:color="auto"/>
        <w:bottom w:val="none" w:sz="0" w:space="0" w:color="auto"/>
        <w:right w:val="none" w:sz="0" w:space="0" w:color="auto"/>
      </w:divBdr>
      <w:divsChild>
        <w:div w:id="568463295">
          <w:marLeft w:val="0"/>
          <w:marRight w:val="0"/>
          <w:marTop w:val="0"/>
          <w:marBottom w:val="0"/>
          <w:divBdr>
            <w:top w:val="none" w:sz="0" w:space="0" w:color="auto"/>
            <w:left w:val="none" w:sz="0" w:space="0" w:color="auto"/>
            <w:bottom w:val="none" w:sz="0" w:space="0" w:color="auto"/>
            <w:right w:val="none" w:sz="0" w:space="0" w:color="auto"/>
          </w:divBdr>
        </w:div>
        <w:div w:id="1525091864">
          <w:marLeft w:val="0"/>
          <w:marRight w:val="0"/>
          <w:marTop w:val="0"/>
          <w:marBottom w:val="0"/>
          <w:divBdr>
            <w:top w:val="none" w:sz="0" w:space="0" w:color="auto"/>
            <w:left w:val="none" w:sz="0" w:space="0" w:color="auto"/>
            <w:bottom w:val="none" w:sz="0" w:space="0" w:color="auto"/>
            <w:right w:val="none" w:sz="0" w:space="0" w:color="auto"/>
          </w:divBdr>
          <w:divsChild>
            <w:div w:id="686640996">
              <w:marLeft w:val="165"/>
              <w:marRight w:val="165"/>
              <w:marTop w:val="0"/>
              <w:marBottom w:val="0"/>
              <w:divBdr>
                <w:top w:val="none" w:sz="0" w:space="0" w:color="auto"/>
                <w:left w:val="none" w:sz="0" w:space="0" w:color="auto"/>
                <w:bottom w:val="none" w:sz="0" w:space="0" w:color="auto"/>
                <w:right w:val="none" w:sz="0" w:space="0" w:color="auto"/>
              </w:divBdr>
              <w:divsChild>
                <w:div w:id="136729320">
                  <w:marLeft w:val="0"/>
                  <w:marRight w:val="0"/>
                  <w:marTop w:val="0"/>
                  <w:marBottom w:val="0"/>
                  <w:divBdr>
                    <w:top w:val="none" w:sz="0" w:space="0" w:color="auto"/>
                    <w:left w:val="none" w:sz="0" w:space="0" w:color="auto"/>
                    <w:bottom w:val="none" w:sz="0" w:space="0" w:color="auto"/>
                    <w:right w:val="none" w:sz="0" w:space="0" w:color="auto"/>
                  </w:divBdr>
                  <w:divsChild>
                    <w:div w:id="713506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3703">
      <w:bodyDiv w:val="1"/>
      <w:marLeft w:val="0"/>
      <w:marRight w:val="0"/>
      <w:marTop w:val="0"/>
      <w:marBottom w:val="0"/>
      <w:divBdr>
        <w:top w:val="none" w:sz="0" w:space="0" w:color="auto"/>
        <w:left w:val="none" w:sz="0" w:space="0" w:color="auto"/>
        <w:bottom w:val="none" w:sz="0" w:space="0" w:color="auto"/>
        <w:right w:val="none" w:sz="0" w:space="0" w:color="auto"/>
      </w:divBdr>
      <w:divsChild>
        <w:div w:id="388264893">
          <w:marLeft w:val="0"/>
          <w:marRight w:val="0"/>
          <w:marTop w:val="0"/>
          <w:marBottom w:val="0"/>
          <w:divBdr>
            <w:top w:val="none" w:sz="0" w:space="0" w:color="auto"/>
            <w:left w:val="none" w:sz="0" w:space="0" w:color="auto"/>
            <w:bottom w:val="none" w:sz="0" w:space="0" w:color="auto"/>
            <w:right w:val="none" w:sz="0" w:space="0" w:color="auto"/>
          </w:divBdr>
          <w:divsChild>
            <w:div w:id="467941821">
              <w:marLeft w:val="0"/>
              <w:marRight w:val="0"/>
              <w:marTop w:val="0"/>
              <w:marBottom w:val="0"/>
              <w:divBdr>
                <w:top w:val="none" w:sz="0" w:space="0" w:color="auto"/>
                <w:left w:val="none" w:sz="0" w:space="0" w:color="auto"/>
                <w:bottom w:val="none" w:sz="0" w:space="0" w:color="auto"/>
                <w:right w:val="none" w:sz="0" w:space="0" w:color="auto"/>
              </w:divBdr>
              <w:divsChild>
                <w:div w:id="10127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17502">
      <w:bodyDiv w:val="1"/>
      <w:marLeft w:val="0"/>
      <w:marRight w:val="0"/>
      <w:marTop w:val="0"/>
      <w:marBottom w:val="0"/>
      <w:divBdr>
        <w:top w:val="none" w:sz="0" w:space="0" w:color="auto"/>
        <w:left w:val="none" w:sz="0" w:space="0" w:color="auto"/>
        <w:bottom w:val="none" w:sz="0" w:space="0" w:color="auto"/>
        <w:right w:val="none" w:sz="0" w:space="0" w:color="auto"/>
      </w:divBdr>
      <w:divsChild>
        <w:div w:id="1500198451">
          <w:marLeft w:val="0"/>
          <w:marRight w:val="0"/>
          <w:marTop w:val="0"/>
          <w:marBottom w:val="0"/>
          <w:divBdr>
            <w:top w:val="none" w:sz="0" w:space="0" w:color="auto"/>
            <w:left w:val="none" w:sz="0" w:space="0" w:color="auto"/>
            <w:bottom w:val="none" w:sz="0" w:space="0" w:color="auto"/>
            <w:right w:val="none" w:sz="0" w:space="0" w:color="auto"/>
          </w:divBdr>
          <w:divsChild>
            <w:div w:id="1176336915">
              <w:marLeft w:val="0"/>
              <w:marRight w:val="0"/>
              <w:marTop w:val="0"/>
              <w:marBottom w:val="0"/>
              <w:divBdr>
                <w:top w:val="none" w:sz="0" w:space="0" w:color="auto"/>
                <w:left w:val="none" w:sz="0" w:space="0" w:color="auto"/>
                <w:bottom w:val="none" w:sz="0" w:space="0" w:color="auto"/>
                <w:right w:val="none" w:sz="0" w:space="0" w:color="auto"/>
              </w:divBdr>
              <w:divsChild>
                <w:div w:id="3296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472">
      <w:bodyDiv w:val="1"/>
      <w:marLeft w:val="0"/>
      <w:marRight w:val="0"/>
      <w:marTop w:val="0"/>
      <w:marBottom w:val="0"/>
      <w:divBdr>
        <w:top w:val="none" w:sz="0" w:space="0" w:color="auto"/>
        <w:left w:val="none" w:sz="0" w:space="0" w:color="auto"/>
        <w:bottom w:val="none" w:sz="0" w:space="0" w:color="auto"/>
        <w:right w:val="none" w:sz="0" w:space="0" w:color="auto"/>
      </w:divBdr>
      <w:divsChild>
        <w:div w:id="406388751">
          <w:marLeft w:val="0"/>
          <w:marRight w:val="0"/>
          <w:marTop w:val="0"/>
          <w:marBottom w:val="0"/>
          <w:divBdr>
            <w:top w:val="none" w:sz="0" w:space="0" w:color="auto"/>
            <w:left w:val="none" w:sz="0" w:space="0" w:color="auto"/>
            <w:bottom w:val="none" w:sz="0" w:space="0" w:color="auto"/>
            <w:right w:val="none" w:sz="0" w:space="0" w:color="auto"/>
          </w:divBdr>
          <w:divsChild>
            <w:div w:id="920067301">
              <w:marLeft w:val="0"/>
              <w:marRight w:val="0"/>
              <w:marTop w:val="0"/>
              <w:marBottom w:val="0"/>
              <w:divBdr>
                <w:top w:val="none" w:sz="0" w:space="0" w:color="auto"/>
                <w:left w:val="none" w:sz="0" w:space="0" w:color="auto"/>
                <w:bottom w:val="none" w:sz="0" w:space="0" w:color="auto"/>
                <w:right w:val="none" w:sz="0" w:space="0" w:color="auto"/>
              </w:divBdr>
              <w:divsChild>
                <w:div w:id="5715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49784">
      <w:bodyDiv w:val="1"/>
      <w:marLeft w:val="0"/>
      <w:marRight w:val="0"/>
      <w:marTop w:val="0"/>
      <w:marBottom w:val="0"/>
      <w:divBdr>
        <w:top w:val="none" w:sz="0" w:space="0" w:color="auto"/>
        <w:left w:val="none" w:sz="0" w:space="0" w:color="auto"/>
        <w:bottom w:val="none" w:sz="0" w:space="0" w:color="auto"/>
        <w:right w:val="none" w:sz="0" w:space="0" w:color="auto"/>
      </w:divBdr>
    </w:div>
    <w:div w:id="1288587229">
      <w:bodyDiv w:val="1"/>
      <w:marLeft w:val="0"/>
      <w:marRight w:val="0"/>
      <w:marTop w:val="0"/>
      <w:marBottom w:val="0"/>
      <w:divBdr>
        <w:top w:val="none" w:sz="0" w:space="0" w:color="auto"/>
        <w:left w:val="none" w:sz="0" w:space="0" w:color="auto"/>
        <w:bottom w:val="none" w:sz="0" w:space="0" w:color="auto"/>
        <w:right w:val="none" w:sz="0" w:space="0" w:color="auto"/>
      </w:divBdr>
      <w:divsChild>
        <w:div w:id="1616130143">
          <w:marLeft w:val="0"/>
          <w:marRight w:val="0"/>
          <w:marTop w:val="0"/>
          <w:marBottom w:val="0"/>
          <w:divBdr>
            <w:top w:val="none" w:sz="0" w:space="0" w:color="auto"/>
            <w:left w:val="none" w:sz="0" w:space="0" w:color="auto"/>
            <w:bottom w:val="none" w:sz="0" w:space="0" w:color="auto"/>
            <w:right w:val="none" w:sz="0" w:space="0" w:color="auto"/>
          </w:divBdr>
          <w:divsChild>
            <w:div w:id="1998410910">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0425">
      <w:bodyDiv w:val="1"/>
      <w:marLeft w:val="0"/>
      <w:marRight w:val="0"/>
      <w:marTop w:val="0"/>
      <w:marBottom w:val="0"/>
      <w:divBdr>
        <w:top w:val="none" w:sz="0" w:space="0" w:color="auto"/>
        <w:left w:val="none" w:sz="0" w:space="0" w:color="auto"/>
        <w:bottom w:val="none" w:sz="0" w:space="0" w:color="auto"/>
        <w:right w:val="none" w:sz="0" w:space="0" w:color="auto"/>
      </w:divBdr>
      <w:divsChild>
        <w:div w:id="591015054">
          <w:marLeft w:val="0"/>
          <w:marRight w:val="0"/>
          <w:marTop w:val="0"/>
          <w:marBottom w:val="0"/>
          <w:divBdr>
            <w:top w:val="none" w:sz="0" w:space="0" w:color="auto"/>
            <w:left w:val="none" w:sz="0" w:space="0" w:color="auto"/>
            <w:bottom w:val="none" w:sz="0" w:space="0" w:color="auto"/>
            <w:right w:val="none" w:sz="0" w:space="0" w:color="auto"/>
          </w:divBdr>
          <w:divsChild>
            <w:div w:id="781802206">
              <w:marLeft w:val="0"/>
              <w:marRight w:val="0"/>
              <w:marTop w:val="0"/>
              <w:marBottom w:val="0"/>
              <w:divBdr>
                <w:top w:val="none" w:sz="0" w:space="0" w:color="auto"/>
                <w:left w:val="none" w:sz="0" w:space="0" w:color="auto"/>
                <w:bottom w:val="none" w:sz="0" w:space="0" w:color="auto"/>
                <w:right w:val="none" w:sz="0" w:space="0" w:color="auto"/>
              </w:divBdr>
              <w:divsChild>
                <w:div w:id="10601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3054">
      <w:bodyDiv w:val="1"/>
      <w:marLeft w:val="0"/>
      <w:marRight w:val="0"/>
      <w:marTop w:val="0"/>
      <w:marBottom w:val="0"/>
      <w:divBdr>
        <w:top w:val="none" w:sz="0" w:space="0" w:color="auto"/>
        <w:left w:val="none" w:sz="0" w:space="0" w:color="auto"/>
        <w:bottom w:val="none" w:sz="0" w:space="0" w:color="auto"/>
        <w:right w:val="none" w:sz="0" w:space="0" w:color="auto"/>
      </w:divBdr>
      <w:divsChild>
        <w:div w:id="1113863310">
          <w:marLeft w:val="0"/>
          <w:marRight w:val="0"/>
          <w:marTop w:val="0"/>
          <w:marBottom w:val="0"/>
          <w:divBdr>
            <w:top w:val="none" w:sz="0" w:space="0" w:color="auto"/>
            <w:left w:val="none" w:sz="0" w:space="0" w:color="auto"/>
            <w:bottom w:val="none" w:sz="0" w:space="0" w:color="auto"/>
            <w:right w:val="none" w:sz="0" w:space="0" w:color="auto"/>
          </w:divBdr>
          <w:divsChild>
            <w:div w:id="205720485">
              <w:marLeft w:val="0"/>
              <w:marRight w:val="0"/>
              <w:marTop w:val="0"/>
              <w:marBottom w:val="0"/>
              <w:divBdr>
                <w:top w:val="none" w:sz="0" w:space="0" w:color="auto"/>
                <w:left w:val="none" w:sz="0" w:space="0" w:color="auto"/>
                <w:bottom w:val="none" w:sz="0" w:space="0" w:color="auto"/>
                <w:right w:val="none" w:sz="0" w:space="0" w:color="auto"/>
              </w:divBdr>
              <w:divsChild>
                <w:div w:id="13744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2981">
      <w:bodyDiv w:val="1"/>
      <w:marLeft w:val="0"/>
      <w:marRight w:val="0"/>
      <w:marTop w:val="0"/>
      <w:marBottom w:val="0"/>
      <w:divBdr>
        <w:top w:val="none" w:sz="0" w:space="0" w:color="auto"/>
        <w:left w:val="none" w:sz="0" w:space="0" w:color="auto"/>
        <w:bottom w:val="none" w:sz="0" w:space="0" w:color="auto"/>
        <w:right w:val="none" w:sz="0" w:space="0" w:color="auto"/>
      </w:divBdr>
    </w:div>
    <w:div w:id="1356618152">
      <w:bodyDiv w:val="1"/>
      <w:marLeft w:val="0"/>
      <w:marRight w:val="0"/>
      <w:marTop w:val="0"/>
      <w:marBottom w:val="0"/>
      <w:divBdr>
        <w:top w:val="none" w:sz="0" w:space="0" w:color="auto"/>
        <w:left w:val="none" w:sz="0" w:space="0" w:color="auto"/>
        <w:bottom w:val="none" w:sz="0" w:space="0" w:color="auto"/>
        <w:right w:val="none" w:sz="0" w:space="0" w:color="auto"/>
      </w:divBdr>
      <w:divsChild>
        <w:div w:id="709692419">
          <w:marLeft w:val="0"/>
          <w:marRight w:val="0"/>
          <w:marTop w:val="0"/>
          <w:marBottom w:val="0"/>
          <w:divBdr>
            <w:top w:val="none" w:sz="0" w:space="0" w:color="auto"/>
            <w:left w:val="none" w:sz="0" w:space="0" w:color="auto"/>
            <w:bottom w:val="none" w:sz="0" w:space="0" w:color="auto"/>
            <w:right w:val="none" w:sz="0" w:space="0" w:color="auto"/>
          </w:divBdr>
          <w:divsChild>
            <w:div w:id="2011978920">
              <w:marLeft w:val="0"/>
              <w:marRight w:val="0"/>
              <w:marTop w:val="0"/>
              <w:marBottom w:val="0"/>
              <w:divBdr>
                <w:top w:val="none" w:sz="0" w:space="0" w:color="auto"/>
                <w:left w:val="none" w:sz="0" w:space="0" w:color="auto"/>
                <w:bottom w:val="none" w:sz="0" w:space="0" w:color="auto"/>
                <w:right w:val="none" w:sz="0" w:space="0" w:color="auto"/>
              </w:divBdr>
              <w:divsChild>
                <w:div w:id="18602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9989">
      <w:bodyDiv w:val="1"/>
      <w:marLeft w:val="0"/>
      <w:marRight w:val="0"/>
      <w:marTop w:val="0"/>
      <w:marBottom w:val="0"/>
      <w:divBdr>
        <w:top w:val="none" w:sz="0" w:space="0" w:color="auto"/>
        <w:left w:val="none" w:sz="0" w:space="0" w:color="auto"/>
        <w:bottom w:val="none" w:sz="0" w:space="0" w:color="auto"/>
        <w:right w:val="none" w:sz="0" w:space="0" w:color="auto"/>
      </w:divBdr>
    </w:div>
    <w:div w:id="1448739199">
      <w:bodyDiv w:val="1"/>
      <w:marLeft w:val="0"/>
      <w:marRight w:val="0"/>
      <w:marTop w:val="0"/>
      <w:marBottom w:val="0"/>
      <w:divBdr>
        <w:top w:val="none" w:sz="0" w:space="0" w:color="auto"/>
        <w:left w:val="none" w:sz="0" w:space="0" w:color="auto"/>
        <w:bottom w:val="none" w:sz="0" w:space="0" w:color="auto"/>
        <w:right w:val="none" w:sz="0" w:space="0" w:color="auto"/>
      </w:divBdr>
      <w:divsChild>
        <w:div w:id="986083204">
          <w:marLeft w:val="0"/>
          <w:marRight w:val="0"/>
          <w:marTop w:val="0"/>
          <w:marBottom w:val="0"/>
          <w:divBdr>
            <w:top w:val="none" w:sz="0" w:space="0" w:color="auto"/>
            <w:left w:val="none" w:sz="0" w:space="0" w:color="auto"/>
            <w:bottom w:val="none" w:sz="0" w:space="0" w:color="auto"/>
            <w:right w:val="none" w:sz="0" w:space="0" w:color="auto"/>
          </w:divBdr>
          <w:divsChild>
            <w:div w:id="712971861">
              <w:marLeft w:val="0"/>
              <w:marRight w:val="0"/>
              <w:marTop w:val="0"/>
              <w:marBottom w:val="0"/>
              <w:divBdr>
                <w:top w:val="none" w:sz="0" w:space="0" w:color="auto"/>
                <w:left w:val="none" w:sz="0" w:space="0" w:color="auto"/>
                <w:bottom w:val="none" w:sz="0" w:space="0" w:color="auto"/>
                <w:right w:val="none" w:sz="0" w:space="0" w:color="auto"/>
              </w:divBdr>
              <w:divsChild>
                <w:div w:id="1140416960">
                  <w:marLeft w:val="0"/>
                  <w:marRight w:val="0"/>
                  <w:marTop w:val="0"/>
                  <w:marBottom w:val="0"/>
                  <w:divBdr>
                    <w:top w:val="none" w:sz="0" w:space="0" w:color="auto"/>
                    <w:left w:val="none" w:sz="0" w:space="0" w:color="auto"/>
                    <w:bottom w:val="none" w:sz="0" w:space="0" w:color="auto"/>
                    <w:right w:val="none" w:sz="0" w:space="0" w:color="auto"/>
                  </w:divBdr>
                  <w:divsChild>
                    <w:div w:id="507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0288">
      <w:bodyDiv w:val="1"/>
      <w:marLeft w:val="0"/>
      <w:marRight w:val="0"/>
      <w:marTop w:val="0"/>
      <w:marBottom w:val="0"/>
      <w:divBdr>
        <w:top w:val="none" w:sz="0" w:space="0" w:color="auto"/>
        <w:left w:val="none" w:sz="0" w:space="0" w:color="auto"/>
        <w:bottom w:val="none" w:sz="0" w:space="0" w:color="auto"/>
        <w:right w:val="none" w:sz="0" w:space="0" w:color="auto"/>
      </w:divBdr>
    </w:div>
    <w:div w:id="1457868544">
      <w:bodyDiv w:val="1"/>
      <w:marLeft w:val="0"/>
      <w:marRight w:val="0"/>
      <w:marTop w:val="0"/>
      <w:marBottom w:val="0"/>
      <w:divBdr>
        <w:top w:val="none" w:sz="0" w:space="0" w:color="auto"/>
        <w:left w:val="none" w:sz="0" w:space="0" w:color="auto"/>
        <w:bottom w:val="none" w:sz="0" w:space="0" w:color="auto"/>
        <w:right w:val="none" w:sz="0" w:space="0" w:color="auto"/>
      </w:divBdr>
    </w:div>
    <w:div w:id="1478303121">
      <w:bodyDiv w:val="1"/>
      <w:marLeft w:val="0"/>
      <w:marRight w:val="0"/>
      <w:marTop w:val="0"/>
      <w:marBottom w:val="0"/>
      <w:divBdr>
        <w:top w:val="none" w:sz="0" w:space="0" w:color="auto"/>
        <w:left w:val="none" w:sz="0" w:space="0" w:color="auto"/>
        <w:bottom w:val="none" w:sz="0" w:space="0" w:color="auto"/>
        <w:right w:val="none" w:sz="0" w:space="0" w:color="auto"/>
      </w:divBdr>
      <w:divsChild>
        <w:div w:id="1855531343">
          <w:marLeft w:val="0"/>
          <w:marRight w:val="0"/>
          <w:marTop w:val="0"/>
          <w:marBottom w:val="0"/>
          <w:divBdr>
            <w:top w:val="none" w:sz="0" w:space="0" w:color="auto"/>
            <w:left w:val="none" w:sz="0" w:space="0" w:color="auto"/>
            <w:bottom w:val="none" w:sz="0" w:space="0" w:color="auto"/>
            <w:right w:val="none" w:sz="0" w:space="0" w:color="auto"/>
          </w:divBdr>
          <w:divsChild>
            <w:div w:id="387537899">
              <w:marLeft w:val="0"/>
              <w:marRight w:val="0"/>
              <w:marTop w:val="0"/>
              <w:marBottom w:val="0"/>
              <w:divBdr>
                <w:top w:val="none" w:sz="0" w:space="0" w:color="auto"/>
                <w:left w:val="none" w:sz="0" w:space="0" w:color="auto"/>
                <w:bottom w:val="none" w:sz="0" w:space="0" w:color="auto"/>
                <w:right w:val="none" w:sz="0" w:space="0" w:color="auto"/>
              </w:divBdr>
              <w:divsChild>
                <w:div w:id="687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437">
      <w:bodyDiv w:val="1"/>
      <w:marLeft w:val="0"/>
      <w:marRight w:val="0"/>
      <w:marTop w:val="0"/>
      <w:marBottom w:val="0"/>
      <w:divBdr>
        <w:top w:val="none" w:sz="0" w:space="0" w:color="auto"/>
        <w:left w:val="none" w:sz="0" w:space="0" w:color="auto"/>
        <w:bottom w:val="none" w:sz="0" w:space="0" w:color="auto"/>
        <w:right w:val="none" w:sz="0" w:space="0" w:color="auto"/>
      </w:divBdr>
      <w:divsChild>
        <w:div w:id="1922985607">
          <w:marLeft w:val="0"/>
          <w:marRight w:val="0"/>
          <w:marTop w:val="0"/>
          <w:marBottom w:val="0"/>
          <w:divBdr>
            <w:top w:val="none" w:sz="0" w:space="0" w:color="auto"/>
            <w:left w:val="none" w:sz="0" w:space="0" w:color="auto"/>
            <w:bottom w:val="none" w:sz="0" w:space="0" w:color="auto"/>
            <w:right w:val="none" w:sz="0" w:space="0" w:color="auto"/>
          </w:divBdr>
          <w:divsChild>
            <w:div w:id="1579248534">
              <w:marLeft w:val="0"/>
              <w:marRight w:val="0"/>
              <w:marTop w:val="0"/>
              <w:marBottom w:val="0"/>
              <w:divBdr>
                <w:top w:val="none" w:sz="0" w:space="0" w:color="auto"/>
                <w:left w:val="none" w:sz="0" w:space="0" w:color="auto"/>
                <w:bottom w:val="none" w:sz="0" w:space="0" w:color="auto"/>
                <w:right w:val="none" w:sz="0" w:space="0" w:color="auto"/>
              </w:divBdr>
              <w:divsChild>
                <w:div w:id="251859004">
                  <w:marLeft w:val="0"/>
                  <w:marRight w:val="0"/>
                  <w:marTop w:val="0"/>
                  <w:marBottom w:val="0"/>
                  <w:divBdr>
                    <w:top w:val="none" w:sz="0" w:space="0" w:color="auto"/>
                    <w:left w:val="none" w:sz="0" w:space="0" w:color="auto"/>
                    <w:bottom w:val="none" w:sz="0" w:space="0" w:color="auto"/>
                    <w:right w:val="none" w:sz="0" w:space="0" w:color="auto"/>
                  </w:divBdr>
                  <w:divsChild>
                    <w:div w:id="1810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939">
      <w:bodyDiv w:val="1"/>
      <w:marLeft w:val="0"/>
      <w:marRight w:val="0"/>
      <w:marTop w:val="0"/>
      <w:marBottom w:val="0"/>
      <w:divBdr>
        <w:top w:val="none" w:sz="0" w:space="0" w:color="auto"/>
        <w:left w:val="none" w:sz="0" w:space="0" w:color="auto"/>
        <w:bottom w:val="none" w:sz="0" w:space="0" w:color="auto"/>
        <w:right w:val="none" w:sz="0" w:space="0" w:color="auto"/>
      </w:divBdr>
    </w:div>
    <w:div w:id="1533614841">
      <w:bodyDiv w:val="1"/>
      <w:marLeft w:val="0"/>
      <w:marRight w:val="0"/>
      <w:marTop w:val="0"/>
      <w:marBottom w:val="0"/>
      <w:divBdr>
        <w:top w:val="none" w:sz="0" w:space="0" w:color="auto"/>
        <w:left w:val="none" w:sz="0" w:space="0" w:color="auto"/>
        <w:bottom w:val="none" w:sz="0" w:space="0" w:color="auto"/>
        <w:right w:val="none" w:sz="0" w:space="0" w:color="auto"/>
      </w:divBdr>
      <w:divsChild>
        <w:div w:id="489566257">
          <w:marLeft w:val="0"/>
          <w:marRight w:val="0"/>
          <w:marTop w:val="0"/>
          <w:marBottom w:val="0"/>
          <w:divBdr>
            <w:top w:val="none" w:sz="0" w:space="0" w:color="auto"/>
            <w:left w:val="none" w:sz="0" w:space="0" w:color="auto"/>
            <w:bottom w:val="none" w:sz="0" w:space="0" w:color="auto"/>
            <w:right w:val="none" w:sz="0" w:space="0" w:color="auto"/>
          </w:divBdr>
          <w:divsChild>
            <w:div w:id="1546792797">
              <w:marLeft w:val="0"/>
              <w:marRight w:val="0"/>
              <w:marTop w:val="0"/>
              <w:marBottom w:val="0"/>
              <w:divBdr>
                <w:top w:val="none" w:sz="0" w:space="0" w:color="auto"/>
                <w:left w:val="none" w:sz="0" w:space="0" w:color="auto"/>
                <w:bottom w:val="none" w:sz="0" w:space="0" w:color="auto"/>
                <w:right w:val="none" w:sz="0" w:space="0" w:color="auto"/>
              </w:divBdr>
              <w:divsChild>
                <w:div w:id="1279533451">
                  <w:marLeft w:val="0"/>
                  <w:marRight w:val="0"/>
                  <w:marTop w:val="0"/>
                  <w:marBottom w:val="0"/>
                  <w:divBdr>
                    <w:top w:val="none" w:sz="0" w:space="0" w:color="auto"/>
                    <w:left w:val="none" w:sz="0" w:space="0" w:color="auto"/>
                    <w:bottom w:val="none" w:sz="0" w:space="0" w:color="auto"/>
                    <w:right w:val="none" w:sz="0" w:space="0" w:color="auto"/>
                  </w:divBdr>
                  <w:divsChild>
                    <w:div w:id="12222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49648">
      <w:bodyDiv w:val="1"/>
      <w:marLeft w:val="0"/>
      <w:marRight w:val="0"/>
      <w:marTop w:val="0"/>
      <w:marBottom w:val="0"/>
      <w:divBdr>
        <w:top w:val="none" w:sz="0" w:space="0" w:color="auto"/>
        <w:left w:val="none" w:sz="0" w:space="0" w:color="auto"/>
        <w:bottom w:val="none" w:sz="0" w:space="0" w:color="auto"/>
        <w:right w:val="none" w:sz="0" w:space="0" w:color="auto"/>
      </w:divBdr>
    </w:div>
    <w:div w:id="1586303166">
      <w:bodyDiv w:val="1"/>
      <w:marLeft w:val="0"/>
      <w:marRight w:val="0"/>
      <w:marTop w:val="0"/>
      <w:marBottom w:val="0"/>
      <w:divBdr>
        <w:top w:val="none" w:sz="0" w:space="0" w:color="auto"/>
        <w:left w:val="none" w:sz="0" w:space="0" w:color="auto"/>
        <w:bottom w:val="none" w:sz="0" w:space="0" w:color="auto"/>
        <w:right w:val="none" w:sz="0" w:space="0" w:color="auto"/>
      </w:divBdr>
    </w:div>
    <w:div w:id="1631935354">
      <w:bodyDiv w:val="1"/>
      <w:marLeft w:val="0"/>
      <w:marRight w:val="0"/>
      <w:marTop w:val="0"/>
      <w:marBottom w:val="0"/>
      <w:divBdr>
        <w:top w:val="none" w:sz="0" w:space="0" w:color="auto"/>
        <w:left w:val="none" w:sz="0" w:space="0" w:color="auto"/>
        <w:bottom w:val="none" w:sz="0" w:space="0" w:color="auto"/>
        <w:right w:val="none" w:sz="0" w:space="0" w:color="auto"/>
      </w:divBdr>
    </w:div>
    <w:div w:id="1642729005">
      <w:bodyDiv w:val="1"/>
      <w:marLeft w:val="0"/>
      <w:marRight w:val="0"/>
      <w:marTop w:val="0"/>
      <w:marBottom w:val="0"/>
      <w:divBdr>
        <w:top w:val="none" w:sz="0" w:space="0" w:color="auto"/>
        <w:left w:val="none" w:sz="0" w:space="0" w:color="auto"/>
        <w:bottom w:val="none" w:sz="0" w:space="0" w:color="auto"/>
        <w:right w:val="none" w:sz="0" w:space="0" w:color="auto"/>
      </w:divBdr>
      <w:divsChild>
        <w:div w:id="622536566">
          <w:marLeft w:val="0"/>
          <w:marRight w:val="0"/>
          <w:marTop w:val="0"/>
          <w:marBottom w:val="0"/>
          <w:divBdr>
            <w:top w:val="none" w:sz="0" w:space="0" w:color="auto"/>
            <w:left w:val="none" w:sz="0" w:space="0" w:color="auto"/>
            <w:bottom w:val="none" w:sz="0" w:space="0" w:color="auto"/>
            <w:right w:val="none" w:sz="0" w:space="0" w:color="auto"/>
          </w:divBdr>
          <w:divsChild>
            <w:div w:id="1793936183">
              <w:marLeft w:val="0"/>
              <w:marRight w:val="0"/>
              <w:marTop w:val="0"/>
              <w:marBottom w:val="0"/>
              <w:divBdr>
                <w:top w:val="none" w:sz="0" w:space="0" w:color="auto"/>
                <w:left w:val="none" w:sz="0" w:space="0" w:color="auto"/>
                <w:bottom w:val="none" w:sz="0" w:space="0" w:color="auto"/>
                <w:right w:val="none" w:sz="0" w:space="0" w:color="auto"/>
              </w:divBdr>
              <w:divsChild>
                <w:div w:id="1851673868">
                  <w:marLeft w:val="0"/>
                  <w:marRight w:val="0"/>
                  <w:marTop w:val="0"/>
                  <w:marBottom w:val="0"/>
                  <w:divBdr>
                    <w:top w:val="none" w:sz="0" w:space="0" w:color="auto"/>
                    <w:left w:val="none" w:sz="0" w:space="0" w:color="auto"/>
                    <w:bottom w:val="none" w:sz="0" w:space="0" w:color="auto"/>
                    <w:right w:val="none" w:sz="0" w:space="0" w:color="auto"/>
                  </w:divBdr>
                  <w:divsChild>
                    <w:div w:id="14638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7005">
      <w:bodyDiv w:val="1"/>
      <w:marLeft w:val="0"/>
      <w:marRight w:val="0"/>
      <w:marTop w:val="0"/>
      <w:marBottom w:val="0"/>
      <w:divBdr>
        <w:top w:val="none" w:sz="0" w:space="0" w:color="auto"/>
        <w:left w:val="none" w:sz="0" w:space="0" w:color="auto"/>
        <w:bottom w:val="none" w:sz="0" w:space="0" w:color="auto"/>
        <w:right w:val="none" w:sz="0" w:space="0" w:color="auto"/>
      </w:divBdr>
      <w:divsChild>
        <w:div w:id="1451238200">
          <w:marLeft w:val="0"/>
          <w:marRight w:val="0"/>
          <w:marTop w:val="150"/>
          <w:marBottom w:val="150"/>
          <w:divBdr>
            <w:top w:val="none" w:sz="0" w:space="0" w:color="auto"/>
            <w:left w:val="none" w:sz="0" w:space="0" w:color="auto"/>
            <w:bottom w:val="none" w:sz="0" w:space="0" w:color="auto"/>
            <w:right w:val="none" w:sz="0" w:space="0" w:color="auto"/>
          </w:divBdr>
        </w:div>
        <w:div w:id="1082144497">
          <w:marLeft w:val="0"/>
          <w:marRight w:val="0"/>
          <w:marTop w:val="150"/>
          <w:marBottom w:val="150"/>
          <w:divBdr>
            <w:top w:val="none" w:sz="0" w:space="0" w:color="auto"/>
            <w:left w:val="none" w:sz="0" w:space="0" w:color="auto"/>
            <w:bottom w:val="none" w:sz="0" w:space="0" w:color="auto"/>
            <w:right w:val="none" w:sz="0" w:space="0" w:color="auto"/>
          </w:divBdr>
        </w:div>
      </w:divsChild>
    </w:div>
    <w:div w:id="1644776863">
      <w:bodyDiv w:val="1"/>
      <w:marLeft w:val="0"/>
      <w:marRight w:val="0"/>
      <w:marTop w:val="0"/>
      <w:marBottom w:val="0"/>
      <w:divBdr>
        <w:top w:val="none" w:sz="0" w:space="0" w:color="auto"/>
        <w:left w:val="none" w:sz="0" w:space="0" w:color="auto"/>
        <w:bottom w:val="none" w:sz="0" w:space="0" w:color="auto"/>
        <w:right w:val="none" w:sz="0" w:space="0" w:color="auto"/>
      </w:divBdr>
    </w:div>
    <w:div w:id="1653564762">
      <w:bodyDiv w:val="1"/>
      <w:marLeft w:val="0"/>
      <w:marRight w:val="0"/>
      <w:marTop w:val="0"/>
      <w:marBottom w:val="0"/>
      <w:divBdr>
        <w:top w:val="none" w:sz="0" w:space="0" w:color="auto"/>
        <w:left w:val="none" w:sz="0" w:space="0" w:color="auto"/>
        <w:bottom w:val="none" w:sz="0" w:space="0" w:color="auto"/>
        <w:right w:val="none" w:sz="0" w:space="0" w:color="auto"/>
      </w:divBdr>
      <w:divsChild>
        <w:div w:id="1380319591">
          <w:marLeft w:val="0"/>
          <w:marRight w:val="0"/>
          <w:marTop w:val="0"/>
          <w:marBottom w:val="0"/>
          <w:divBdr>
            <w:top w:val="none" w:sz="0" w:space="0" w:color="auto"/>
            <w:left w:val="none" w:sz="0" w:space="0" w:color="auto"/>
            <w:bottom w:val="none" w:sz="0" w:space="0" w:color="auto"/>
            <w:right w:val="none" w:sz="0" w:space="0" w:color="auto"/>
          </w:divBdr>
          <w:divsChild>
            <w:div w:id="773332386">
              <w:marLeft w:val="0"/>
              <w:marRight w:val="0"/>
              <w:marTop w:val="0"/>
              <w:marBottom w:val="0"/>
              <w:divBdr>
                <w:top w:val="none" w:sz="0" w:space="0" w:color="auto"/>
                <w:left w:val="none" w:sz="0" w:space="0" w:color="auto"/>
                <w:bottom w:val="none" w:sz="0" w:space="0" w:color="auto"/>
                <w:right w:val="none" w:sz="0" w:space="0" w:color="auto"/>
              </w:divBdr>
              <w:divsChild>
                <w:div w:id="1595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5258">
      <w:bodyDiv w:val="1"/>
      <w:marLeft w:val="0"/>
      <w:marRight w:val="0"/>
      <w:marTop w:val="0"/>
      <w:marBottom w:val="0"/>
      <w:divBdr>
        <w:top w:val="none" w:sz="0" w:space="0" w:color="auto"/>
        <w:left w:val="none" w:sz="0" w:space="0" w:color="auto"/>
        <w:bottom w:val="none" w:sz="0" w:space="0" w:color="auto"/>
        <w:right w:val="none" w:sz="0" w:space="0" w:color="auto"/>
      </w:divBdr>
    </w:div>
    <w:div w:id="1700164291">
      <w:bodyDiv w:val="1"/>
      <w:marLeft w:val="0"/>
      <w:marRight w:val="0"/>
      <w:marTop w:val="0"/>
      <w:marBottom w:val="0"/>
      <w:divBdr>
        <w:top w:val="none" w:sz="0" w:space="0" w:color="auto"/>
        <w:left w:val="none" w:sz="0" w:space="0" w:color="auto"/>
        <w:bottom w:val="none" w:sz="0" w:space="0" w:color="auto"/>
        <w:right w:val="none" w:sz="0" w:space="0" w:color="auto"/>
      </w:divBdr>
      <w:divsChild>
        <w:div w:id="1840384890">
          <w:marLeft w:val="0"/>
          <w:marRight w:val="0"/>
          <w:marTop w:val="0"/>
          <w:marBottom w:val="0"/>
          <w:divBdr>
            <w:top w:val="none" w:sz="0" w:space="0" w:color="auto"/>
            <w:left w:val="none" w:sz="0" w:space="0" w:color="auto"/>
            <w:bottom w:val="none" w:sz="0" w:space="0" w:color="auto"/>
            <w:right w:val="none" w:sz="0" w:space="0" w:color="auto"/>
          </w:divBdr>
          <w:divsChild>
            <w:div w:id="998001088">
              <w:marLeft w:val="0"/>
              <w:marRight w:val="0"/>
              <w:marTop w:val="0"/>
              <w:marBottom w:val="0"/>
              <w:divBdr>
                <w:top w:val="none" w:sz="0" w:space="0" w:color="auto"/>
                <w:left w:val="none" w:sz="0" w:space="0" w:color="auto"/>
                <w:bottom w:val="none" w:sz="0" w:space="0" w:color="auto"/>
                <w:right w:val="none" w:sz="0" w:space="0" w:color="auto"/>
              </w:divBdr>
              <w:divsChild>
                <w:div w:id="5492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166599">
          <w:marLeft w:val="0"/>
          <w:marRight w:val="0"/>
          <w:marTop w:val="0"/>
          <w:marBottom w:val="0"/>
          <w:divBdr>
            <w:top w:val="none" w:sz="0" w:space="0" w:color="auto"/>
            <w:left w:val="none" w:sz="0" w:space="0" w:color="auto"/>
            <w:bottom w:val="none" w:sz="0" w:space="0" w:color="auto"/>
            <w:right w:val="none" w:sz="0" w:space="0" w:color="auto"/>
          </w:divBdr>
          <w:divsChild>
            <w:div w:id="1368290054">
              <w:marLeft w:val="0"/>
              <w:marRight w:val="0"/>
              <w:marTop w:val="0"/>
              <w:marBottom w:val="0"/>
              <w:divBdr>
                <w:top w:val="none" w:sz="0" w:space="0" w:color="auto"/>
                <w:left w:val="none" w:sz="0" w:space="0" w:color="auto"/>
                <w:bottom w:val="none" w:sz="0" w:space="0" w:color="auto"/>
                <w:right w:val="none" w:sz="0" w:space="0" w:color="auto"/>
              </w:divBdr>
              <w:divsChild>
                <w:div w:id="5828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5487">
      <w:bodyDiv w:val="1"/>
      <w:marLeft w:val="0"/>
      <w:marRight w:val="0"/>
      <w:marTop w:val="0"/>
      <w:marBottom w:val="0"/>
      <w:divBdr>
        <w:top w:val="none" w:sz="0" w:space="0" w:color="auto"/>
        <w:left w:val="none" w:sz="0" w:space="0" w:color="auto"/>
        <w:bottom w:val="none" w:sz="0" w:space="0" w:color="auto"/>
        <w:right w:val="none" w:sz="0" w:space="0" w:color="auto"/>
      </w:divBdr>
      <w:divsChild>
        <w:div w:id="130027914">
          <w:marLeft w:val="0"/>
          <w:marRight w:val="0"/>
          <w:marTop w:val="0"/>
          <w:marBottom w:val="0"/>
          <w:divBdr>
            <w:top w:val="none" w:sz="0" w:space="0" w:color="auto"/>
            <w:left w:val="none" w:sz="0" w:space="0" w:color="auto"/>
            <w:bottom w:val="none" w:sz="0" w:space="0" w:color="auto"/>
            <w:right w:val="none" w:sz="0" w:space="0" w:color="auto"/>
          </w:divBdr>
          <w:divsChild>
            <w:div w:id="1242255109">
              <w:marLeft w:val="0"/>
              <w:marRight w:val="0"/>
              <w:marTop w:val="0"/>
              <w:marBottom w:val="0"/>
              <w:divBdr>
                <w:top w:val="none" w:sz="0" w:space="0" w:color="auto"/>
                <w:left w:val="none" w:sz="0" w:space="0" w:color="auto"/>
                <w:bottom w:val="none" w:sz="0" w:space="0" w:color="auto"/>
                <w:right w:val="none" w:sz="0" w:space="0" w:color="auto"/>
              </w:divBdr>
              <w:divsChild>
                <w:div w:id="818303240">
                  <w:marLeft w:val="0"/>
                  <w:marRight w:val="0"/>
                  <w:marTop w:val="0"/>
                  <w:marBottom w:val="0"/>
                  <w:divBdr>
                    <w:top w:val="none" w:sz="0" w:space="0" w:color="auto"/>
                    <w:left w:val="none" w:sz="0" w:space="0" w:color="auto"/>
                    <w:bottom w:val="none" w:sz="0" w:space="0" w:color="auto"/>
                    <w:right w:val="none" w:sz="0" w:space="0" w:color="auto"/>
                  </w:divBdr>
                  <w:divsChild>
                    <w:div w:id="21130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4387">
      <w:bodyDiv w:val="1"/>
      <w:marLeft w:val="0"/>
      <w:marRight w:val="0"/>
      <w:marTop w:val="0"/>
      <w:marBottom w:val="0"/>
      <w:divBdr>
        <w:top w:val="none" w:sz="0" w:space="0" w:color="auto"/>
        <w:left w:val="none" w:sz="0" w:space="0" w:color="auto"/>
        <w:bottom w:val="none" w:sz="0" w:space="0" w:color="auto"/>
        <w:right w:val="none" w:sz="0" w:space="0" w:color="auto"/>
      </w:divBdr>
      <w:divsChild>
        <w:div w:id="922683555">
          <w:marLeft w:val="0"/>
          <w:marRight w:val="0"/>
          <w:marTop w:val="0"/>
          <w:marBottom w:val="0"/>
          <w:divBdr>
            <w:top w:val="none" w:sz="0" w:space="0" w:color="auto"/>
            <w:left w:val="none" w:sz="0" w:space="0" w:color="auto"/>
            <w:bottom w:val="none" w:sz="0" w:space="0" w:color="auto"/>
            <w:right w:val="none" w:sz="0" w:space="0" w:color="auto"/>
          </w:divBdr>
          <w:divsChild>
            <w:div w:id="1883470898">
              <w:marLeft w:val="0"/>
              <w:marRight w:val="0"/>
              <w:marTop w:val="0"/>
              <w:marBottom w:val="0"/>
              <w:divBdr>
                <w:top w:val="none" w:sz="0" w:space="0" w:color="auto"/>
                <w:left w:val="none" w:sz="0" w:space="0" w:color="auto"/>
                <w:bottom w:val="none" w:sz="0" w:space="0" w:color="auto"/>
                <w:right w:val="none" w:sz="0" w:space="0" w:color="auto"/>
              </w:divBdr>
              <w:divsChild>
                <w:div w:id="1833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5499">
      <w:bodyDiv w:val="1"/>
      <w:marLeft w:val="0"/>
      <w:marRight w:val="0"/>
      <w:marTop w:val="0"/>
      <w:marBottom w:val="0"/>
      <w:divBdr>
        <w:top w:val="none" w:sz="0" w:space="0" w:color="auto"/>
        <w:left w:val="none" w:sz="0" w:space="0" w:color="auto"/>
        <w:bottom w:val="none" w:sz="0" w:space="0" w:color="auto"/>
        <w:right w:val="none" w:sz="0" w:space="0" w:color="auto"/>
      </w:divBdr>
    </w:div>
    <w:div w:id="1782528475">
      <w:bodyDiv w:val="1"/>
      <w:marLeft w:val="0"/>
      <w:marRight w:val="0"/>
      <w:marTop w:val="0"/>
      <w:marBottom w:val="0"/>
      <w:divBdr>
        <w:top w:val="none" w:sz="0" w:space="0" w:color="auto"/>
        <w:left w:val="none" w:sz="0" w:space="0" w:color="auto"/>
        <w:bottom w:val="none" w:sz="0" w:space="0" w:color="auto"/>
        <w:right w:val="none" w:sz="0" w:space="0" w:color="auto"/>
      </w:divBdr>
      <w:divsChild>
        <w:div w:id="1045177873">
          <w:marLeft w:val="0"/>
          <w:marRight w:val="0"/>
          <w:marTop w:val="0"/>
          <w:marBottom w:val="0"/>
          <w:divBdr>
            <w:top w:val="none" w:sz="0" w:space="0" w:color="auto"/>
            <w:left w:val="none" w:sz="0" w:space="0" w:color="auto"/>
            <w:bottom w:val="none" w:sz="0" w:space="0" w:color="auto"/>
            <w:right w:val="none" w:sz="0" w:space="0" w:color="auto"/>
          </w:divBdr>
          <w:divsChild>
            <w:div w:id="1210873329">
              <w:marLeft w:val="0"/>
              <w:marRight w:val="0"/>
              <w:marTop w:val="0"/>
              <w:marBottom w:val="0"/>
              <w:divBdr>
                <w:top w:val="none" w:sz="0" w:space="0" w:color="auto"/>
                <w:left w:val="none" w:sz="0" w:space="0" w:color="auto"/>
                <w:bottom w:val="none" w:sz="0" w:space="0" w:color="auto"/>
                <w:right w:val="none" w:sz="0" w:space="0" w:color="auto"/>
              </w:divBdr>
              <w:divsChild>
                <w:div w:id="19777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5180">
      <w:bodyDiv w:val="1"/>
      <w:marLeft w:val="0"/>
      <w:marRight w:val="0"/>
      <w:marTop w:val="0"/>
      <w:marBottom w:val="0"/>
      <w:divBdr>
        <w:top w:val="none" w:sz="0" w:space="0" w:color="auto"/>
        <w:left w:val="none" w:sz="0" w:space="0" w:color="auto"/>
        <w:bottom w:val="none" w:sz="0" w:space="0" w:color="auto"/>
        <w:right w:val="none" w:sz="0" w:space="0" w:color="auto"/>
      </w:divBdr>
      <w:divsChild>
        <w:div w:id="1868130367">
          <w:marLeft w:val="0"/>
          <w:marRight w:val="0"/>
          <w:marTop w:val="0"/>
          <w:marBottom w:val="0"/>
          <w:divBdr>
            <w:top w:val="none" w:sz="0" w:space="0" w:color="auto"/>
            <w:left w:val="none" w:sz="0" w:space="0" w:color="auto"/>
            <w:bottom w:val="none" w:sz="0" w:space="0" w:color="auto"/>
            <w:right w:val="none" w:sz="0" w:space="0" w:color="auto"/>
          </w:divBdr>
          <w:divsChild>
            <w:div w:id="510997917">
              <w:marLeft w:val="0"/>
              <w:marRight w:val="0"/>
              <w:marTop w:val="0"/>
              <w:marBottom w:val="0"/>
              <w:divBdr>
                <w:top w:val="none" w:sz="0" w:space="0" w:color="auto"/>
                <w:left w:val="none" w:sz="0" w:space="0" w:color="auto"/>
                <w:bottom w:val="none" w:sz="0" w:space="0" w:color="auto"/>
                <w:right w:val="none" w:sz="0" w:space="0" w:color="auto"/>
              </w:divBdr>
              <w:divsChild>
                <w:div w:id="6950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5443">
      <w:bodyDiv w:val="1"/>
      <w:marLeft w:val="0"/>
      <w:marRight w:val="0"/>
      <w:marTop w:val="0"/>
      <w:marBottom w:val="0"/>
      <w:divBdr>
        <w:top w:val="none" w:sz="0" w:space="0" w:color="auto"/>
        <w:left w:val="none" w:sz="0" w:space="0" w:color="auto"/>
        <w:bottom w:val="none" w:sz="0" w:space="0" w:color="auto"/>
        <w:right w:val="none" w:sz="0" w:space="0" w:color="auto"/>
      </w:divBdr>
    </w:div>
    <w:div w:id="1818836657">
      <w:bodyDiv w:val="1"/>
      <w:marLeft w:val="0"/>
      <w:marRight w:val="0"/>
      <w:marTop w:val="0"/>
      <w:marBottom w:val="0"/>
      <w:divBdr>
        <w:top w:val="none" w:sz="0" w:space="0" w:color="auto"/>
        <w:left w:val="none" w:sz="0" w:space="0" w:color="auto"/>
        <w:bottom w:val="none" w:sz="0" w:space="0" w:color="auto"/>
        <w:right w:val="none" w:sz="0" w:space="0" w:color="auto"/>
      </w:divBdr>
      <w:divsChild>
        <w:div w:id="2065330410">
          <w:marLeft w:val="0"/>
          <w:marRight w:val="0"/>
          <w:marTop w:val="0"/>
          <w:marBottom w:val="0"/>
          <w:divBdr>
            <w:top w:val="none" w:sz="0" w:space="0" w:color="auto"/>
            <w:left w:val="none" w:sz="0" w:space="0" w:color="auto"/>
            <w:bottom w:val="none" w:sz="0" w:space="0" w:color="auto"/>
            <w:right w:val="none" w:sz="0" w:space="0" w:color="auto"/>
          </w:divBdr>
          <w:divsChild>
            <w:div w:id="1730693285">
              <w:marLeft w:val="0"/>
              <w:marRight w:val="0"/>
              <w:marTop w:val="0"/>
              <w:marBottom w:val="0"/>
              <w:divBdr>
                <w:top w:val="none" w:sz="0" w:space="0" w:color="auto"/>
                <w:left w:val="none" w:sz="0" w:space="0" w:color="auto"/>
                <w:bottom w:val="none" w:sz="0" w:space="0" w:color="auto"/>
                <w:right w:val="none" w:sz="0" w:space="0" w:color="auto"/>
              </w:divBdr>
              <w:divsChild>
                <w:div w:id="439297796">
                  <w:marLeft w:val="0"/>
                  <w:marRight w:val="0"/>
                  <w:marTop w:val="0"/>
                  <w:marBottom w:val="0"/>
                  <w:divBdr>
                    <w:top w:val="none" w:sz="0" w:space="0" w:color="auto"/>
                    <w:left w:val="none" w:sz="0" w:space="0" w:color="auto"/>
                    <w:bottom w:val="none" w:sz="0" w:space="0" w:color="auto"/>
                    <w:right w:val="none" w:sz="0" w:space="0" w:color="auto"/>
                  </w:divBdr>
                  <w:divsChild>
                    <w:div w:id="1456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0698">
      <w:bodyDiv w:val="1"/>
      <w:marLeft w:val="0"/>
      <w:marRight w:val="0"/>
      <w:marTop w:val="0"/>
      <w:marBottom w:val="0"/>
      <w:divBdr>
        <w:top w:val="none" w:sz="0" w:space="0" w:color="auto"/>
        <w:left w:val="none" w:sz="0" w:space="0" w:color="auto"/>
        <w:bottom w:val="none" w:sz="0" w:space="0" w:color="auto"/>
        <w:right w:val="none" w:sz="0" w:space="0" w:color="auto"/>
      </w:divBdr>
      <w:divsChild>
        <w:div w:id="159542496">
          <w:marLeft w:val="0"/>
          <w:marRight w:val="0"/>
          <w:marTop w:val="0"/>
          <w:marBottom w:val="0"/>
          <w:divBdr>
            <w:top w:val="none" w:sz="0" w:space="0" w:color="auto"/>
            <w:left w:val="none" w:sz="0" w:space="0" w:color="auto"/>
            <w:bottom w:val="none" w:sz="0" w:space="0" w:color="auto"/>
            <w:right w:val="none" w:sz="0" w:space="0" w:color="auto"/>
          </w:divBdr>
          <w:divsChild>
            <w:div w:id="1430546339">
              <w:marLeft w:val="0"/>
              <w:marRight w:val="0"/>
              <w:marTop w:val="0"/>
              <w:marBottom w:val="0"/>
              <w:divBdr>
                <w:top w:val="none" w:sz="0" w:space="0" w:color="auto"/>
                <w:left w:val="none" w:sz="0" w:space="0" w:color="auto"/>
                <w:bottom w:val="none" w:sz="0" w:space="0" w:color="auto"/>
                <w:right w:val="none" w:sz="0" w:space="0" w:color="auto"/>
              </w:divBdr>
              <w:divsChild>
                <w:div w:id="1012100553">
                  <w:marLeft w:val="0"/>
                  <w:marRight w:val="0"/>
                  <w:marTop w:val="0"/>
                  <w:marBottom w:val="0"/>
                  <w:divBdr>
                    <w:top w:val="none" w:sz="0" w:space="0" w:color="auto"/>
                    <w:left w:val="none" w:sz="0" w:space="0" w:color="auto"/>
                    <w:bottom w:val="none" w:sz="0" w:space="0" w:color="auto"/>
                    <w:right w:val="none" w:sz="0" w:space="0" w:color="auto"/>
                  </w:divBdr>
                  <w:divsChild>
                    <w:div w:id="18320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3239">
      <w:bodyDiv w:val="1"/>
      <w:marLeft w:val="0"/>
      <w:marRight w:val="0"/>
      <w:marTop w:val="0"/>
      <w:marBottom w:val="0"/>
      <w:divBdr>
        <w:top w:val="none" w:sz="0" w:space="0" w:color="auto"/>
        <w:left w:val="none" w:sz="0" w:space="0" w:color="auto"/>
        <w:bottom w:val="none" w:sz="0" w:space="0" w:color="auto"/>
        <w:right w:val="none" w:sz="0" w:space="0" w:color="auto"/>
      </w:divBdr>
      <w:divsChild>
        <w:div w:id="52433394">
          <w:marLeft w:val="0"/>
          <w:marRight w:val="0"/>
          <w:marTop w:val="0"/>
          <w:marBottom w:val="0"/>
          <w:divBdr>
            <w:top w:val="none" w:sz="0" w:space="0" w:color="auto"/>
            <w:left w:val="none" w:sz="0" w:space="0" w:color="auto"/>
            <w:bottom w:val="none" w:sz="0" w:space="0" w:color="auto"/>
            <w:right w:val="none" w:sz="0" w:space="0" w:color="auto"/>
          </w:divBdr>
          <w:divsChild>
            <w:div w:id="2113623817">
              <w:marLeft w:val="0"/>
              <w:marRight w:val="0"/>
              <w:marTop w:val="0"/>
              <w:marBottom w:val="0"/>
              <w:divBdr>
                <w:top w:val="none" w:sz="0" w:space="0" w:color="auto"/>
                <w:left w:val="none" w:sz="0" w:space="0" w:color="auto"/>
                <w:bottom w:val="none" w:sz="0" w:space="0" w:color="auto"/>
                <w:right w:val="none" w:sz="0" w:space="0" w:color="auto"/>
              </w:divBdr>
              <w:divsChild>
                <w:div w:id="14723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3546">
      <w:bodyDiv w:val="1"/>
      <w:marLeft w:val="0"/>
      <w:marRight w:val="0"/>
      <w:marTop w:val="0"/>
      <w:marBottom w:val="0"/>
      <w:divBdr>
        <w:top w:val="none" w:sz="0" w:space="0" w:color="auto"/>
        <w:left w:val="none" w:sz="0" w:space="0" w:color="auto"/>
        <w:bottom w:val="none" w:sz="0" w:space="0" w:color="auto"/>
        <w:right w:val="none" w:sz="0" w:space="0" w:color="auto"/>
      </w:divBdr>
      <w:divsChild>
        <w:div w:id="1593201219">
          <w:marLeft w:val="0"/>
          <w:marRight w:val="0"/>
          <w:marTop w:val="0"/>
          <w:marBottom w:val="0"/>
          <w:divBdr>
            <w:top w:val="none" w:sz="0" w:space="0" w:color="auto"/>
            <w:left w:val="none" w:sz="0" w:space="0" w:color="auto"/>
            <w:bottom w:val="none" w:sz="0" w:space="0" w:color="auto"/>
            <w:right w:val="none" w:sz="0" w:space="0" w:color="auto"/>
          </w:divBdr>
          <w:divsChild>
            <w:div w:id="515775599">
              <w:marLeft w:val="0"/>
              <w:marRight w:val="0"/>
              <w:marTop w:val="0"/>
              <w:marBottom w:val="0"/>
              <w:divBdr>
                <w:top w:val="none" w:sz="0" w:space="0" w:color="auto"/>
                <w:left w:val="none" w:sz="0" w:space="0" w:color="auto"/>
                <w:bottom w:val="none" w:sz="0" w:space="0" w:color="auto"/>
                <w:right w:val="none" w:sz="0" w:space="0" w:color="auto"/>
              </w:divBdr>
              <w:divsChild>
                <w:div w:id="1976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343">
      <w:bodyDiv w:val="1"/>
      <w:marLeft w:val="0"/>
      <w:marRight w:val="0"/>
      <w:marTop w:val="0"/>
      <w:marBottom w:val="0"/>
      <w:divBdr>
        <w:top w:val="none" w:sz="0" w:space="0" w:color="auto"/>
        <w:left w:val="none" w:sz="0" w:space="0" w:color="auto"/>
        <w:bottom w:val="none" w:sz="0" w:space="0" w:color="auto"/>
        <w:right w:val="none" w:sz="0" w:space="0" w:color="auto"/>
      </w:divBdr>
    </w:div>
    <w:div w:id="1926453015">
      <w:bodyDiv w:val="1"/>
      <w:marLeft w:val="0"/>
      <w:marRight w:val="0"/>
      <w:marTop w:val="0"/>
      <w:marBottom w:val="0"/>
      <w:divBdr>
        <w:top w:val="none" w:sz="0" w:space="0" w:color="auto"/>
        <w:left w:val="none" w:sz="0" w:space="0" w:color="auto"/>
        <w:bottom w:val="none" w:sz="0" w:space="0" w:color="auto"/>
        <w:right w:val="none" w:sz="0" w:space="0" w:color="auto"/>
      </w:divBdr>
      <w:divsChild>
        <w:div w:id="1274021378">
          <w:marLeft w:val="0"/>
          <w:marRight w:val="0"/>
          <w:marTop w:val="0"/>
          <w:marBottom w:val="0"/>
          <w:divBdr>
            <w:top w:val="none" w:sz="0" w:space="0" w:color="auto"/>
            <w:left w:val="none" w:sz="0" w:space="0" w:color="auto"/>
            <w:bottom w:val="none" w:sz="0" w:space="0" w:color="auto"/>
            <w:right w:val="none" w:sz="0" w:space="0" w:color="auto"/>
          </w:divBdr>
          <w:divsChild>
            <w:div w:id="684088235">
              <w:marLeft w:val="0"/>
              <w:marRight w:val="0"/>
              <w:marTop w:val="0"/>
              <w:marBottom w:val="0"/>
              <w:divBdr>
                <w:top w:val="none" w:sz="0" w:space="0" w:color="auto"/>
                <w:left w:val="none" w:sz="0" w:space="0" w:color="auto"/>
                <w:bottom w:val="none" w:sz="0" w:space="0" w:color="auto"/>
                <w:right w:val="none" w:sz="0" w:space="0" w:color="auto"/>
              </w:divBdr>
              <w:divsChild>
                <w:div w:id="13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6803">
      <w:bodyDiv w:val="1"/>
      <w:marLeft w:val="0"/>
      <w:marRight w:val="0"/>
      <w:marTop w:val="0"/>
      <w:marBottom w:val="0"/>
      <w:divBdr>
        <w:top w:val="none" w:sz="0" w:space="0" w:color="auto"/>
        <w:left w:val="none" w:sz="0" w:space="0" w:color="auto"/>
        <w:bottom w:val="none" w:sz="0" w:space="0" w:color="auto"/>
        <w:right w:val="none" w:sz="0" w:space="0" w:color="auto"/>
      </w:divBdr>
    </w:div>
    <w:div w:id="1986011900">
      <w:bodyDiv w:val="1"/>
      <w:marLeft w:val="0"/>
      <w:marRight w:val="0"/>
      <w:marTop w:val="0"/>
      <w:marBottom w:val="0"/>
      <w:divBdr>
        <w:top w:val="none" w:sz="0" w:space="0" w:color="auto"/>
        <w:left w:val="none" w:sz="0" w:space="0" w:color="auto"/>
        <w:bottom w:val="none" w:sz="0" w:space="0" w:color="auto"/>
        <w:right w:val="none" w:sz="0" w:space="0" w:color="auto"/>
      </w:divBdr>
    </w:div>
    <w:div w:id="1986549628">
      <w:bodyDiv w:val="1"/>
      <w:marLeft w:val="0"/>
      <w:marRight w:val="0"/>
      <w:marTop w:val="0"/>
      <w:marBottom w:val="0"/>
      <w:divBdr>
        <w:top w:val="none" w:sz="0" w:space="0" w:color="auto"/>
        <w:left w:val="none" w:sz="0" w:space="0" w:color="auto"/>
        <w:bottom w:val="none" w:sz="0" w:space="0" w:color="auto"/>
        <w:right w:val="none" w:sz="0" w:space="0" w:color="auto"/>
      </w:divBdr>
    </w:div>
    <w:div w:id="1989437456">
      <w:bodyDiv w:val="1"/>
      <w:marLeft w:val="0"/>
      <w:marRight w:val="0"/>
      <w:marTop w:val="0"/>
      <w:marBottom w:val="0"/>
      <w:divBdr>
        <w:top w:val="none" w:sz="0" w:space="0" w:color="auto"/>
        <w:left w:val="none" w:sz="0" w:space="0" w:color="auto"/>
        <w:bottom w:val="none" w:sz="0" w:space="0" w:color="auto"/>
        <w:right w:val="none" w:sz="0" w:space="0" w:color="auto"/>
      </w:divBdr>
      <w:divsChild>
        <w:div w:id="1153334861">
          <w:marLeft w:val="0"/>
          <w:marRight w:val="0"/>
          <w:marTop w:val="0"/>
          <w:marBottom w:val="0"/>
          <w:divBdr>
            <w:top w:val="none" w:sz="0" w:space="0" w:color="auto"/>
            <w:left w:val="none" w:sz="0" w:space="0" w:color="auto"/>
            <w:bottom w:val="none" w:sz="0" w:space="0" w:color="auto"/>
            <w:right w:val="none" w:sz="0" w:space="0" w:color="auto"/>
          </w:divBdr>
          <w:divsChild>
            <w:div w:id="1660426847">
              <w:marLeft w:val="0"/>
              <w:marRight w:val="0"/>
              <w:marTop w:val="0"/>
              <w:marBottom w:val="0"/>
              <w:divBdr>
                <w:top w:val="none" w:sz="0" w:space="0" w:color="auto"/>
                <w:left w:val="none" w:sz="0" w:space="0" w:color="auto"/>
                <w:bottom w:val="none" w:sz="0" w:space="0" w:color="auto"/>
                <w:right w:val="none" w:sz="0" w:space="0" w:color="auto"/>
              </w:divBdr>
              <w:divsChild>
                <w:div w:id="18491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3031">
      <w:bodyDiv w:val="1"/>
      <w:marLeft w:val="0"/>
      <w:marRight w:val="0"/>
      <w:marTop w:val="0"/>
      <w:marBottom w:val="0"/>
      <w:divBdr>
        <w:top w:val="none" w:sz="0" w:space="0" w:color="auto"/>
        <w:left w:val="none" w:sz="0" w:space="0" w:color="auto"/>
        <w:bottom w:val="none" w:sz="0" w:space="0" w:color="auto"/>
        <w:right w:val="none" w:sz="0" w:space="0" w:color="auto"/>
      </w:divBdr>
    </w:div>
    <w:div w:id="2003387712">
      <w:bodyDiv w:val="1"/>
      <w:marLeft w:val="0"/>
      <w:marRight w:val="0"/>
      <w:marTop w:val="0"/>
      <w:marBottom w:val="0"/>
      <w:divBdr>
        <w:top w:val="none" w:sz="0" w:space="0" w:color="auto"/>
        <w:left w:val="none" w:sz="0" w:space="0" w:color="auto"/>
        <w:bottom w:val="none" w:sz="0" w:space="0" w:color="auto"/>
        <w:right w:val="none" w:sz="0" w:space="0" w:color="auto"/>
      </w:divBdr>
    </w:div>
    <w:div w:id="2006203138">
      <w:bodyDiv w:val="1"/>
      <w:marLeft w:val="0"/>
      <w:marRight w:val="0"/>
      <w:marTop w:val="0"/>
      <w:marBottom w:val="0"/>
      <w:divBdr>
        <w:top w:val="none" w:sz="0" w:space="0" w:color="auto"/>
        <w:left w:val="none" w:sz="0" w:space="0" w:color="auto"/>
        <w:bottom w:val="none" w:sz="0" w:space="0" w:color="auto"/>
        <w:right w:val="none" w:sz="0" w:space="0" w:color="auto"/>
      </w:divBdr>
    </w:div>
    <w:div w:id="2029986348">
      <w:bodyDiv w:val="1"/>
      <w:marLeft w:val="0"/>
      <w:marRight w:val="0"/>
      <w:marTop w:val="0"/>
      <w:marBottom w:val="0"/>
      <w:divBdr>
        <w:top w:val="none" w:sz="0" w:space="0" w:color="auto"/>
        <w:left w:val="none" w:sz="0" w:space="0" w:color="auto"/>
        <w:bottom w:val="none" w:sz="0" w:space="0" w:color="auto"/>
        <w:right w:val="none" w:sz="0" w:space="0" w:color="auto"/>
      </w:divBdr>
    </w:div>
    <w:div w:id="2033795862">
      <w:bodyDiv w:val="1"/>
      <w:marLeft w:val="0"/>
      <w:marRight w:val="0"/>
      <w:marTop w:val="0"/>
      <w:marBottom w:val="0"/>
      <w:divBdr>
        <w:top w:val="none" w:sz="0" w:space="0" w:color="auto"/>
        <w:left w:val="none" w:sz="0" w:space="0" w:color="auto"/>
        <w:bottom w:val="none" w:sz="0" w:space="0" w:color="auto"/>
        <w:right w:val="none" w:sz="0" w:space="0" w:color="auto"/>
      </w:divBdr>
    </w:div>
    <w:div w:id="2037731705">
      <w:bodyDiv w:val="1"/>
      <w:marLeft w:val="0"/>
      <w:marRight w:val="0"/>
      <w:marTop w:val="0"/>
      <w:marBottom w:val="0"/>
      <w:divBdr>
        <w:top w:val="none" w:sz="0" w:space="0" w:color="auto"/>
        <w:left w:val="none" w:sz="0" w:space="0" w:color="auto"/>
        <w:bottom w:val="none" w:sz="0" w:space="0" w:color="auto"/>
        <w:right w:val="none" w:sz="0" w:space="0" w:color="auto"/>
      </w:divBdr>
      <w:divsChild>
        <w:div w:id="1790202212">
          <w:marLeft w:val="0"/>
          <w:marRight w:val="0"/>
          <w:marTop w:val="0"/>
          <w:marBottom w:val="0"/>
          <w:divBdr>
            <w:top w:val="none" w:sz="0" w:space="0" w:color="auto"/>
            <w:left w:val="none" w:sz="0" w:space="0" w:color="auto"/>
            <w:bottom w:val="none" w:sz="0" w:space="0" w:color="auto"/>
            <w:right w:val="none" w:sz="0" w:space="0" w:color="auto"/>
          </w:divBdr>
          <w:divsChild>
            <w:div w:id="1702124346">
              <w:marLeft w:val="0"/>
              <w:marRight w:val="0"/>
              <w:marTop w:val="0"/>
              <w:marBottom w:val="0"/>
              <w:divBdr>
                <w:top w:val="none" w:sz="0" w:space="0" w:color="auto"/>
                <w:left w:val="none" w:sz="0" w:space="0" w:color="auto"/>
                <w:bottom w:val="none" w:sz="0" w:space="0" w:color="auto"/>
                <w:right w:val="none" w:sz="0" w:space="0" w:color="auto"/>
              </w:divBdr>
              <w:divsChild>
                <w:div w:id="18023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345">
      <w:bodyDiv w:val="1"/>
      <w:marLeft w:val="0"/>
      <w:marRight w:val="0"/>
      <w:marTop w:val="0"/>
      <w:marBottom w:val="0"/>
      <w:divBdr>
        <w:top w:val="none" w:sz="0" w:space="0" w:color="auto"/>
        <w:left w:val="none" w:sz="0" w:space="0" w:color="auto"/>
        <w:bottom w:val="none" w:sz="0" w:space="0" w:color="auto"/>
        <w:right w:val="none" w:sz="0" w:space="0" w:color="auto"/>
      </w:divBdr>
      <w:divsChild>
        <w:div w:id="1779908442">
          <w:marLeft w:val="0"/>
          <w:marRight w:val="0"/>
          <w:marTop w:val="0"/>
          <w:marBottom w:val="0"/>
          <w:divBdr>
            <w:top w:val="none" w:sz="0" w:space="0" w:color="auto"/>
            <w:left w:val="none" w:sz="0" w:space="0" w:color="auto"/>
            <w:bottom w:val="none" w:sz="0" w:space="0" w:color="auto"/>
            <w:right w:val="none" w:sz="0" w:space="0" w:color="auto"/>
          </w:divBdr>
          <w:divsChild>
            <w:div w:id="115805708">
              <w:marLeft w:val="0"/>
              <w:marRight w:val="0"/>
              <w:marTop w:val="0"/>
              <w:marBottom w:val="0"/>
              <w:divBdr>
                <w:top w:val="none" w:sz="0" w:space="0" w:color="auto"/>
                <w:left w:val="none" w:sz="0" w:space="0" w:color="auto"/>
                <w:bottom w:val="none" w:sz="0" w:space="0" w:color="auto"/>
                <w:right w:val="none" w:sz="0" w:space="0" w:color="auto"/>
              </w:divBdr>
              <w:divsChild>
                <w:div w:id="18080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2952">
      <w:bodyDiv w:val="1"/>
      <w:marLeft w:val="0"/>
      <w:marRight w:val="0"/>
      <w:marTop w:val="0"/>
      <w:marBottom w:val="0"/>
      <w:divBdr>
        <w:top w:val="none" w:sz="0" w:space="0" w:color="auto"/>
        <w:left w:val="none" w:sz="0" w:space="0" w:color="auto"/>
        <w:bottom w:val="none" w:sz="0" w:space="0" w:color="auto"/>
        <w:right w:val="none" w:sz="0" w:space="0" w:color="auto"/>
      </w:divBdr>
    </w:div>
    <w:div w:id="2073654499">
      <w:bodyDiv w:val="1"/>
      <w:marLeft w:val="0"/>
      <w:marRight w:val="0"/>
      <w:marTop w:val="0"/>
      <w:marBottom w:val="0"/>
      <w:divBdr>
        <w:top w:val="none" w:sz="0" w:space="0" w:color="auto"/>
        <w:left w:val="none" w:sz="0" w:space="0" w:color="auto"/>
        <w:bottom w:val="none" w:sz="0" w:space="0" w:color="auto"/>
        <w:right w:val="none" w:sz="0" w:space="0" w:color="auto"/>
      </w:divBdr>
    </w:div>
    <w:div w:id="2078280814">
      <w:bodyDiv w:val="1"/>
      <w:marLeft w:val="0"/>
      <w:marRight w:val="0"/>
      <w:marTop w:val="0"/>
      <w:marBottom w:val="0"/>
      <w:divBdr>
        <w:top w:val="none" w:sz="0" w:space="0" w:color="auto"/>
        <w:left w:val="none" w:sz="0" w:space="0" w:color="auto"/>
        <w:bottom w:val="none" w:sz="0" w:space="0" w:color="auto"/>
        <w:right w:val="none" w:sz="0" w:space="0" w:color="auto"/>
      </w:divBdr>
      <w:divsChild>
        <w:div w:id="2079011950">
          <w:marLeft w:val="0"/>
          <w:marRight w:val="0"/>
          <w:marTop w:val="0"/>
          <w:marBottom w:val="0"/>
          <w:divBdr>
            <w:top w:val="none" w:sz="0" w:space="0" w:color="auto"/>
            <w:left w:val="none" w:sz="0" w:space="0" w:color="auto"/>
            <w:bottom w:val="none" w:sz="0" w:space="0" w:color="auto"/>
            <w:right w:val="none" w:sz="0" w:space="0" w:color="auto"/>
          </w:divBdr>
          <w:divsChild>
            <w:div w:id="5209734">
              <w:marLeft w:val="0"/>
              <w:marRight w:val="0"/>
              <w:marTop w:val="0"/>
              <w:marBottom w:val="0"/>
              <w:divBdr>
                <w:top w:val="none" w:sz="0" w:space="0" w:color="auto"/>
                <w:left w:val="none" w:sz="0" w:space="0" w:color="auto"/>
                <w:bottom w:val="none" w:sz="0" w:space="0" w:color="auto"/>
                <w:right w:val="none" w:sz="0" w:space="0" w:color="auto"/>
              </w:divBdr>
              <w:divsChild>
                <w:div w:id="383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49746">
      <w:bodyDiv w:val="1"/>
      <w:marLeft w:val="0"/>
      <w:marRight w:val="0"/>
      <w:marTop w:val="0"/>
      <w:marBottom w:val="0"/>
      <w:divBdr>
        <w:top w:val="none" w:sz="0" w:space="0" w:color="auto"/>
        <w:left w:val="none" w:sz="0" w:space="0" w:color="auto"/>
        <w:bottom w:val="none" w:sz="0" w:space="0" w:color="auto"/>
        <w:right w:val="none" w:sz="0" w:space="0" w:color="auto"/>
      </w:divBdr>
      <w:divsChild>
        <w:div w:id="1484010222">
          <w:marLeft w:val="0"/>
          <w:marRight w:val="0"/>
          <w:marTop w:val="0"/>
          <w:marBottom w:val="0"/>
          <w:divBdr>
            <w:top w:val="none" w:sz="0" w:space="0" w:color="auto"/>
            <w:left w:val="none" w:sz="0" w:space="0" w:color="auto"/>
            <w:bottom w:val="none" w:sz="0" w:space="0" w:color="auto"/>
            <w:right w:val="none" w:sz="0" w:space="0" w:color="auto"/>
          </w:divBdr>
          <w:divsChild>
            <w:div w:id="187181378">
              <w:marLeft w:val="0"/>
              <w:marRight w:val="0"/>
              <w:marTop w:val="0"/>
              <w:marBottom w:val="0"/>
              <w:divBdr>
                <w:top w:val="none" w:sz="0" w:space="0" w:color="auto"/>
                <w:left w:val="none" w:sz="0" w:space="0" w:color="auto"/>
                <w:bottom w:val="none" w:sz="0" w:space="0" w:color="auto"/>
                <w:right w:val="none" w:sz="0" w:space="0" w:color="auto"/>
              </w:divBdr>
              <w:divsChild>
                <w:div w:id="1508863060">
                  <w:marLeft w:val="0"/>
                  <w:marRight w:val="0"/>
                  <w:marTop w:val="0"/>
                  <w:marBottom w:val="0"/>
                  <w:divBdr>
                    <w:top w:val="none" w:sz="0" w:space="0" w:color="auto"/>
                    <w:left w:val="none" w:sz="0" w:space="0" w:color="auto"/>
                    <w:bottom w:val="none" w:sz="0" w:space="0" w:color="auto"/>
                    <w:right w:val="none" w:sz="0" w:space="0" w:color="auto"/>
                  </w:divBdr>
                  <w:divsChild>
                    <w:div w:id="13961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7807">
      <w:bodyDiv w:val="1"/>
      <w:marLeft w:val="0"/>
      <w:marRight w:val="0"/>
      <w:marTop w:val="0"/>
      <w:marBottom w:val="0"/>
      <w:divBdr>
        <w:top w:val="none" w:sz="0" w:space="0" w:color="auto"/>
        <w:left w:val="none" w:sz="0" w:space="0" w:color="auto"/>
        <w:bottom w:val="none" w:sz="0" w:space="0" w:color="auto"/>
        <w:right w:val="none" w:sz="0" w:space="0" w:color="auto"/>
      </w:divBdr>
    </w:div>
    <w:div w:id="2118985679">
      <w:bodyDiv w:val="1"/>
      <w:marLeft w:val="0"/>
      <w:marRight w:val="0"/>
      <w:marTop w:val="0"/>
      <w:marBottom w:val="0"/>
      <w:divBdr>
        <w:top w:val="none" w:sz="0" w:space="0" w:color="auto"/>
        <w:left w:val="none" w:sz="0" w:space="0" w:color="auto"/>
        <w:bottom w:val="none" w:sz="0" w:space="0" w:color="auto"/>
        <w:right w:val="none" w:sz="0" w:space="0" w:color="auto"/>
      </w:divBdr>
      <w:divsChild>
        <w:div w:id="1852792969">
          <w:marLeft w:val="0"/>
          <w:marRight w:val="0"/>
          <w:marTop w:val="0"/>
          <w:marBottom w:val="0"/>
          <w:divBdr>
            <w:top w:val="none" w:sz="0" w:space="0" w:color="auto"/>
            <w:left w:val="none" w:sz="0" w:space="0" w:color="auto"/>
            <w:bottom w:val="none" w:sz="0" w:space="0" w:color="auto"/>
            <w:right w:val="none" w:sz="0" w:space="0" w:color="auto"/>
          </w:divBdr>
          <w:divsChild>
            <w:div w:id="92091198">
              <w:marLeft w:val="0"/>
              <w:marRight w:val="0"/>
              <w:marTop w:val="0"/>
              <w:marBottom w:val="0"/>
              <w:divBdr>
                <w:top w:val="none" w:sz="0" w:space="0" w:color="auto"/>
                <w:left w:val="none" w:sz="0" w:space="0" w:color="auto"/>
                <w:bottom w:val="none" w:sz="0" w:space="0" w:color="auto"/>
                <w:right w:val="none" w:sz="0" w:space="0" w:color="auto"/>
              </w:divBdr>
              <w:divsChild>
                <w:div w:id="42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5425">
      <w:bodyDiv w:val="1"/>
      <w:marLeft w:val="0"/>
      <w:marRight w:val="0"/>
      <w:marTop w:val="0"/>
      <w:marBottom w:val="0"/>
      <w:divBdr>
        <w:top w:val="none" w:sz="0" w:space="0" w:color="auto"/>
        <w:left w:val="none" w:sz="0" w:space="0" w:color="auto"/>
        <w:bottom w:val="none" w:sz="0" w:space="0" w:color="auto"/>
        <w:right w:val="none" w:sz="0" w:space="0" w:color="auto"/>
      </w:divBdr>
    </w:div>
    <w:div w:id="2139715685">
      <w:bodyDiv w:val="1"/>
      <w:marLeft w:val="0"/>
      <w:marRight w:val="0"/>
      <w:marTop w:val="0"/>
      <w:marBottom w:val="0"/>
      <w:divBdr>
        <w:top w:val="none" w:sz="0" w:space="0" w:color="auto"/>
        <w:left w:val="none" w:sz="0" w:space="0" w:color="auto"/>
        <w:bottom w:val="none" w:sz="0" w:space="0" w:color="auto"/>
        <w:right w:val="none" w:sz="0" w:space="0" w:color="auto"/>
      </w:divBdr>
      <w:divsChild>
        <w:div w:id="172845070">
          <w:marLeft w:val="0"/>
          <w:marRight w:val="0"/>
          <w:marTop w:val="0"/>
          <w:marBottom w:val="0"/>
          <w:divBdr>
            <w:top w:val="none" w:sz="0" w:space="0" w:color="auto"/>
            <w:left w:val="none" w:sz="0" w:space="0" w:color="auto"/>
            <w:bottom w:val="none" w:sz="0" w:space="0" w:color="auto"/>
            <w:right w:val="none" w:sz="0" w:space="0" w:color="auto"/>
          </w:divBdr>
          <w:divsChild>
            <w:div w:id="871186493">
              <w:marLeft w:val="0"/>
              <w:marRight w:val="0"/>
              <w:marTop w:val="0"/>
              <w:marBottom w:val="0"/>
              <w:divBdr>
                <w:top w:val="none" w:sz="0" w:space="0" w:color="auto"/>
                <w:left w:val="none" w:sz="0" w:space="0" w:color="auto"/>
                <w:bottom w:val="none" w:sz="0" w:space="0" w:color="auto"/>
                <w:right w:val="none" w:sz="0" w:space="0" w:color="auto"/>
              </w:divBdr>
              <w:divsChild>
                <w:div w:id="20690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9048">
      <w:bodyDiv w:val="1"/>
      <w:marLeft w:val="0"/>
      <w:marRight w:val="0"/>
      <w:marTop w:val="0"/>
      <w:marBottom w:val="0"/>
      <w:divBdr>
        <w:top w:val="none" w:sz="0" w:space="0" w:color="auto"/>
        <w:left w:val="none" w:sz="0" w:space="0" w:color="auto"/>
        <w:bottom w:val="none" w:sz="0" w:space="0" w:color="auto"/>
        <w:right w:val="none" w:sz="0" w:space="0" w:color="auto"/>
      </w:divBdr>
    </w:div>
    <w:div w:id="21442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mara.leg.br/proposicoesWeb/fichadetramitacao?idProposicao=2088351" TargetMode="External"/><Relationship Id="rId2" Type="http://schemas.openxmlformats.org/officeDocument/2006/relationships/hyperlink" Target="https://www25.senado.leg.br/web/atividade/materias/-/materia/127337" TargetMode="External"/><Relationship Id="rId1" Type="http://schemas.openxmlformats.org/officeDocument/2006/relationships/hyperlink" Target="http://www.planalto.gov.br/ccivil_03/constituicao/emendas/emc/emc95.htm" TargetMode="External"/><Relationship Id="rId6" Type="http://schemas.openxmlformats.org/officeDocument/2006/relationships/hyperlink" Target="http://www.oas.org/es/sadye/inclusion-social/protocolo-ssv/docs/pssv-indicadores-es.pdf" TargetMode="External"/><Relationship Id="rId5" Type="http://schemas.openxmlformats.org/officeDocument/2006/relationships/hyperlink" Target="http://www.planalto.gov.br/ccivil_03/constituicao/constituicao.htm" TargetMode="External"/><Relationship Id="rId4" Type="http://schemas.openxmlformats.org/officeDocument/2006/relationships/hyperlink" Target="https://www.camara.leg.br/proposicoesWeb/prop_mostrarintegra?codteor=1468431&amp;filename=PEC+241/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C28C-8E69-4A73-9EFC-34F73604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3346</Words>
  <Characters>18409</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2020-10-26T15:29:00Z</dcterms:created>
  <dcterms:modified xsi:type="dcterms:W3CDTF">2020-10-26T15:29:00Z</dcterms:modified>
</cp:coreProperties>
</file>