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492EB" w14:textId="77777777" w:rsidR="00E83471" w:rsidRPr="008F2044" w:rsidRDefault="00E83471" w:rsidP="00E83471">
      <w:pPr>
        <w:spacing w:after="0" w:line="240" w:lineRule="auto"/>
        <w:jc w:val="center"/>
        <w:rPr>
          <w:rFonts w:ascii="Verdana" w:hAnsi="Verdana"/>
          <w:b/>
          <w:sz w:val="20"/>
          <w:szCs w:val="20"/>
          <w:lang w:val="es-DO"/>
        </w:rPr>
      </w:pPr>
    </w:p>
    <w:p w14:paraId="0C14F659" w14:textId="7EAD0C5F" w:rsidR="00114F66" w:rsidRPr="008F2044" w:rsidRDefault="00114F66" w:rsidP="00E83471">
      <w:pPr>
        <w:spacing w:after="0" w:line="240" w:lineRule="auto"/>
        <w:jc w:val="center"/>
        <w:rPr>
          <w:rFonts w:ascii="Verdana" w:hAnsi="Verdana"/>
          <w:b/>
          <w:sz w:val="20"/>
          <w:szCs w:val="20"/>
          <w:lang w:val="es-DO"/>
        </w:rPr>
      </w:pPr>
      <w:r w:rsidRPr="008F2044">
        <w:rPr>
          <w:rFonts w:ascii="Verdana" w:hAnsi="Verdana"/>
          <w:b/>
          <w:sz w:val="20"/>
          <w:szCs w:val="20"/>
          <w:lang w:val="es-DO"/>
        </w:rPr>
        <w:t xml:space="preserve">VOTO PARCIALMENTE DISIDENTE </w:t>
      </w:r>
    </w:p>
    <w:p w14:paraId="1B3B77EC" w14:textId="77777777" w:rsidR="00114F66" w:rsidRPr="008F2044" w:rsidRDefault="00114F66" w:rsidP="00E83471">
      <w:pPr>
        <w:spacing w:after="0" w:line="240" w:lineRule="auto"/>
        <w:jc w:val="center"/>
        <w:rPr>
          <w:rFonts w:ascii="Verdana" w:hAnsi="Verdana"/>
          <w:b/>
          <w:sz w:val="20"/>
          <w:szCs w:val="20"/>
          <w:lang w:val="es-DO"/>
        </w:rPr>
      </w:pPr>
      <w:r w:rsidRPr="008F2044">
        <w:rPr>
          <w:rFonts w:ascii="Verdana" w:hAnsi="Verdana"/>
          <w:b/>
          <w:sz w:val="20"/>
          <w:szCs w:val="20"/>
          <w:lang w:val="es-DO"/>
        </w:rPr>
        <w:t xml:space="preserve">JUEZ </w:t>
      </w:r>
      <w:r w:rsidR="00F315A2" w:rsidRPr="008F2044">
        <w:rPr>
          <w:rFonts w:ascii="Verdana" w:hAnsi="Verdana"/>
          <w:b/>
          <w:sz w:val="20"/>
          <w:szCs w:val="20"/>
          <w:lang w:val="es-DO"/>
        </w:rPr>
        <w:t xml:space="preserve">L. </w:t>
      </w:r>
      <w:r w:rsidRPr="008F2044">
        <w:rPr>
          <w:rFonts w:ascii="Verdana" w:hAnsi="Verdana"/>
          <w:b/>
          <w:sz w:val="20"/>
          <w:szCs w:val="20"/>
          <w:lang w:val="es-DO"/>
        </w:rPr>
        <w:t>PATRICIO PAZMIÑO FREIRE</w:t>
      </w:r>
    </w:p>
    <w:p w14:paraId="1F2B4487" w14:textId="72E79569" w:rsidR="00114F66" w:rsidRPr="008F2044" w:rsidRDefault="00114F66" w:rsidP="00B70024">
      <w:pPr>
        <w:spacing w:after="0" w:line="240" w:lineRule="auto"/>
        <w:jc w:val="center"/>
        <w:rPr>
          <w:rFonts w:ascii="Verdana" w:hAnsi="Verdana"/>
          <w:b/>
          <w:sz w:val="20"/>
          <w:szCs w:val="20"/>
        </w:rPr>
      </w:pPr>
      <w:r w:rsidRPr="008F2044">
        <w:rPr>
          <w:rFonts w:ascii="Verdana" w:hAnsi="Verdana"/>
          <w:b/>
          <w:sz w:val="20"/>
          <w:szCs w:val="20"/>
        </w:rPr>
        <w:t>SENTENCIA DE 8 DE JULIO DE 202</w:t>
      </w:r>
      <w:r w:rsidR="00577544" w:rsidRPr="008F2044">
        <w:rPr>
          <w:rFonts w:ascii="Verdana" w:hAnsi="Verdana"/>
          <w:b/>
          <w:sz w:val="20"/>
          <w:szCs w:val="20"/>
        </w:rPr>
        <w:t>0</w:t>
      </w:r>
      <w:r w:rsidR="00292D0C" w:rsidRPr="008F2044">
        <w:rPr>
          <w:rFonts w:ascii="Verdana" w:hAnsi="Verdana"/>
          <w:b/>
          <w:sz w:val="20"/>
          <w:szCs w:val="20"/>
        </w:rPr>
        <w:t xml:space="preserve">. </w:t>
      </w:r>
      <w:r w:rsidRPr="008F2044">
        <w:rPr>
          <w:rFonts w:ascii="Verdana" w:hAnsi="Verdana"/>
          <w:b/>
          <w:sz w:val="20"/>
          <w:szCs w:val="20"/>
        </w:rPr>
        <w:t>CASO PETRO</w:t>
      </w:r>
      <w:r w:rsidR="005D034B">
        <w:rPr>
          <w:rFonts w:ascii="Verdana" w:hAnsi="Verdana"/>
          <w:b/>
          <w:sz w:val="20"/>
          <w:szCs w:val="20"/>
        </w:rPr>
        <w:t xml:space="preserve"> URREGO</w:t>
      </w:r>
      <w:r w:rsidRPr="008F2044">
        <w:rPr>
          <w:rFonts w:ascii="Verdana" w:hAnsi="Verdana"/>
          <w:b/>
          <w:sz w:val="20"/>
          <w:szCs w:val="20"/>
        </w:rPr>
        <w:t xml:space="preserve"> VS. </w:t>
      </w:r>
      <w:r w:rsidR="000A78D8" w:rsidRPr="008F2044">
        <w:rPr>
          <w:rFonts w:ascii="Verdana" w:hAnsi="Verdana"/>
          <w:b/>
          <w:sz w:val="20"/>
          <w:szCs w:val="20"/>
        </w:rPr>
        <w:t>COLOMBIA</w:t>
      </w:r>
    </w:p>
    <w:p w14:paraId="59F0BCAB" w14:textId="77777777" w:rsidR="00114F66" w:rsidRPr="008F2044" w:rsidRDefault="00114F66" w:rsidP="00BB03CE">
      <w:pPr>
        <w:pStyle w:val="PrrafodeSentencia"/>
      </w:pPr>
    </w:p>
    <w:p w14:paraId="0382CCDC" w14:textId="77777777" w:rsidR="00616259" w:rsidRPr="00BB03CE" w:rsidRDefault="00616259" w:rsidP="00BB03CE">
      <w:pPr>
        <w:pStyle w:val="PrrafodeSentencia"/>
      </w:pPr>
      <w:r w:rsidRPr="00BB03CE">
        <w:t xml:space="preserve">I. </w:t>
      </w:r>
      <w:r w:rsidR="00F315A2" w:rsidRPr="00BB03CE">
        <w:t xml:space="preserve">La violación de los derechos políticos </w:t>
      </w:r>
      <w:r w:rsidR="00C87BEA" w:rsidRPr="00BB03CE">
        <w:t xml:space="preserve">y las garantías judiciales </w:t>
      </w:r>
      <w:r w:rsidR="00F315A2" w:rsidRPr="00BB03CE">
        <w:t>de Gustavo Petro Urrego</w:t>
      </w:r>
    </w:p>
    <w:p w14:paraId="4BF9B424" w14:textId="77777777" w:rsidR="00616259" w:rsidRPr="008F2044" w:rsidRDefault="00616259" w:rsidP="00BB03CE">
      <w:pPr>
        <w:pStyle w:val="PrrafodeSentencia"/>
      </w:pPr>
    </w:p>
    <w:p w14:paraId="4580A6F7" w14:textId="6681E70D" w:rsidR="0037190B" w:rsidRPr="00BB03CE" w:rsidRDefault="00DB599B" w:rsidP="00BB03CE">
      <w:pPr>
        <w:pStyle w:val="PrrafodeSentencia"/>
        <w:rPr>
          <w:b w:val="0"/>
        </w:rPr>
      </w:pPr>
      <w:r>
        <w:rPr>
          <w:b w:val="0"/>
        </w:rPr>
        <w:t>En la S</w:t>
      </w:r>
      <w:r w:rsidR="006941BD" w:rsidRPr="00BB03CE">
        <w:rPr>
          <w:b w:val="0"/>
        </w:rPr>
        <w:t xml:space="preserve">entencia </w:t>
      </w:r>
      <w:r w:rsidR="006D493A" w:rsidRPr="00BB03CE">
        <w:rPr>
          <w:b w:val="0"/>
        </w:rPr>
        <w:t xml:space="preserve">del caso </w:t>
      </w:r>
      <w:r w:rsidR="006941BD" w:rsidRPr="00BB03CE">
        <w:rPr>
          <w:b w:val="0"/>
          <w:i/>
        </w:rPr>
        <w:t>Petro</w:t>
      </w:r>
      <w:r w:rsidR="005F7836">
        <w:rPr>
          <w:b w:val="0"/>
          <w:i/>
        </w:rPr>
        <w:t xml:space="preserve"> Urrego</w:t>
      </w:r>
      <w:r w:rsidR="006941BD" w:rsidRPr="00BB03CE">
        <w:rPr>
          <w:b w:val="0"/>
          <w:i/>
        </w:rPr>
        <w:t xml:space="preserve"> Vs. Colombia</w:t>
      </w:r>
      <w:r w:rsidR="006D493A" w:rsidRPr="00BB03CE">
        <w:rPr>
          <w:b w:val="0"/>
        </w:rPr>
        <w:t xml:space="preserve">, la Corte reiteró la interpretación establecida en el </w:t>
      </w:r>
      <w:r w:rsidR="00C44180" w:rsidRPr="00BB03CE">
        <w:rPr>
          <w:b w:val="0"/>
        </w:rPr>
        <w:t>precedente</w:t>
      </w:r>
      <w:r w:rsidR="006D493A" w:rsidRPr="00BB03CE">
        <w:rPr>
          <w:b w:val="0"/>
        </w:rPr>
        <w:t xml:space="preserve"> </w:t>
      </w:r>
      <w:r w:rsidR="006D493A" w:rsidRPr="00BB03CE">
        <w:rPr>
          <w:b w:val="0"/>
          <w:i/>
        </w:rPr>
        <w:t xml:space="preserve">López Mendoza Vs. Venezuela </w:t>
      </w:r>
      <w:r w:rsidR="006D493A" w:rsidRPr="00BB03CE">
        <w:rPr>
          <w:b w:val="0"/>
        </w:rPr>
        <w:t>respecto a los alcances del artículo 23.2 de la Convención Americana, en el sentido de que</w:t>
      </w:r>
      <w:r w:rsidR="00C44180" w:rsidRPr="00BB03CE">
        <w:rPr>
          <w:b w:val="0"/>
        </w:rPr>
        <w:t xml:space="preserve"> la inhabilitación de funcionarios públicos democráticamente electos por parte de una autoridad administrativa </w:t>
      </w:r>
      <w:r w:rsidR="00336C30" w:rsidRPr="00BB03CE">
        <w:rPr>
          <w:b w:val="0"/>
        </w:rPr>
        <w:t xml:space="preserve">disciplinaria </w:t>
      </w:r>
      <w:r w:rsidR="00C44180" w:rsidRPr="00BB03CE">
        <w:rPr>
          <w:b w:val="0"/>
        </w:rPr>
        <w:t>resulta incompatible con la literalidad, el objeto y el fin de la referida dispos</w:t>
      </w:r>
      <w:r w:rsidR="00951E19" w:rsidRPr="00BB03CE">
        <w:rPr>
          <w:b w:val="0"/>
        </w:rPr>
        <w:t xml:space="preserve">ición. </w:t>
      </w:r>
      <w:r w:rsidR="00336C30" w:rsidRPr="00BB03CE">
        <w:rPr>
          <w:b w:val="0"/>
        </w:rPr>
        <w:t>Es pertinente recordar que e</w:t>
      </w:r>
      <w:r w:rsidR="00951E19" w:rsidRPr="00BB03CE">
        <w:rPr>
          <w:b w:val="0"/>
        </w:rPr>
        <w:t>l señor Petro fue destituido como Alcalde Mayor de Bogotá el 9 de diciembre de 2013, como resultado de un proceso disciplinario seguido en su contra por la Pr</w:t>
      </w:r>
      <w:r w:rsidR="00AB2F35" w:rsidRPr="00BB03CE">
        <w:rPr>
          <w:b w:val="0"/>
        </w:rPr>
        <w:t xml:space="preserve">ocuraduría General de la Nación, cuya sanción también le inhabilitó para ocupar cargos públicos por un </w:t>
      </w:r>
      <w:r w:rsidR="002D3EB8" w:rsidRPr="00BB03CE">
        <w:rPr>
          <w:b w:val="0"/>
        </w:rPr>
        <w:t>periodo</w:t>
      </w:r>
      <w:r w:rsidR="00AB2F35" w:rsidRPr="00BB03CE">
        <w:rPr>
          <w:b w:val="0"/>
        </w:rPr>
        <w:t xml:space="preserve"> de 15 años. </w:t>
      </w:r>
    </w:p>
    <w:p w14:paraId="73921C0E" w14:textId="77777777" w:rsidR="0037190B" w:rsidRPr="00BB03CE" w:rsidRDefault="0037190B" w:rsidP="00BB03CE">
      <w:pPr>
        <w:pStyle w:val="PrrafodeSentencia"/>
        <w:rPr>
          <w:b w:val="0"/>
        </w:rPr>
      </w:pPr>
    </w:p>
    <w:p w14:paraId="474B4C7B" w14:textId="4F1A7216" w:rsidR="00616259" w:rsidRPr="00BB03CE" w:rsidRDefault="002D3EB8" w:rsidP="00BB03CE">
      <w:pPr>
        <w:pStyle w:val="PrrafodeSentencia"/>
        <w:rPr>
          <w:b w:val="0"/>
        </w:rPr>
      </w:pPr>
      <w:r w:rsidRPr="00BB03CE">
        <w:rPr>
          <w:b w:val="0"/>
        </w:rPr>
        <w:t>La Corte concluyó que dicha sanción constituyó una violación a los derechos políticos del señor Petro e</w:t>
      </w:r>
      <w:r w:rsidR="00F315A2" w:rsidRPr="00BB03CE">
        <w:rPr>
          <w:b w:val="0"/>
        </w:rPr>
        <w:t>n los términos del artículo 23</w:t>
      </w:r>
      <w:r w:rsidRPr="00BB03CE">
        <w:rPr>
          <w:b w:val="0"/>
        </w:rPr>
        <w:t xml:space="preserve"> de la Convención porque no fue impuesta por un juez competente en un proceso</w:t>
      </w:r>
      <w:r w:rsidR="005B2533" w:rsidRPr="00BB03CE">
        <w:rPr>
          <w:b w:val="0"/>
        </w:rPr>
        <w:t xml:space="preserve"> </w:t>
      </w:r>
      <w:r w:rsidRPr="00BB03CE">
        <w:rPr>
          <w:b w:val="0"/>
        </w:rPr>
        <w:t>penal</w:t>
      </w:r>
      <w:r w:rsidR="00F315A2" w:rsidRPr="00BB03CE">
        <w:rPr>
          <w:b w:val="0"/>
        </w:rPr>
        <w:t>,</w:t>
      </w:r>
      <w:r w:rsidRPr="00BB03CE">
        <w:rPr>
          <w:b w:val="0"/>
        </w:rPr>
        <w:t xml:space="preserve"> con arreglo a las garantías judiciales contempladas en el artículo 8 del mismo instrumento. En tal sentido, la Corte </w:t>
      </w:r>
      <w:r w:rsidR="000219CB" w:rsidRPr="00BB03CE">
        <w:rPr>
          <w:b w:val="0"/>
        </w:rPr>
        <w:t>precisó</w:t>
      </w:r>
      <w:r w:rsidRPr="00BB03CE">
        <w:rPr>
          <w:b w:val="0"/>
        </w:rPr>
        <w:t xml:space="preserve"> que la destitución de un funcionario de elección p</w:t>
      </w:r>
      <w:r w:rsidR="00336C30" w:rsidRPr="00BB03CE">
        <w:rPr>
          <w:b w:val="0"/>
        </w:rPr>
        <w:t>opular, en tanto representa una afectación de los derechos políticos en su dimensión individual como colectiva, tampoco puede ser ordenada por una autoridad administrativa de naturaleza disciplinaria</w:t>
      </w:r>
      <w:r w:rsidR="00F315A2" w:rsidRPr="00BB03CE">
        <w:rPr>
          <w:b w:val="0"/>
        </w:rPr>
        <w:t>.</w:t>
      </w:r>
      <w:r w:rsidR="000219CB" w:rsidRPr="00BB03CE">
        <w:rPr>
          <w:b w:val="0"/>
        </w:rPr>
        <w:t xml:space="preserve"> </w:t>
      </w:r>
      <w:r w:rsidR="00F315A2" w:rsidRPr="00BB03CE">
        <w:rPr>
          <w:b w:val="0"/>
        </w:rPr>
        <w:t>No hay duda entonces que existió una violación a los derechos políticos del señor Petro con la decisión de la Procuraduría.</w:t>
      </w:r>
    </w:p>
    <w:p w14:paraId="2EC1ED37" w14:textId="77777777" w:rsidR="00C87BEA" w:rsidRPr="00BB03CE" w:rsidRDefault="00C87BEA" w:rsidP="00BB03CE">
      <w:pPr>
        <w:pStyle w:val="PrrafodeSentencia"/>
        <w:rPr>
          <w:b w:val="0"/>
        </w:rPr>
      </w:pPr>
    </w:p>
    <w:p w14:paraId="60B62B59" w14:textId="2B8B16BB" w:rsidR="00C87BEA" w:rsidRPr="00BB03CE" w:rsidRDefault="00980CDF" w:rsidP="00BB03CE">
      <w:pPr>
        <w:pStyle w:val="PrrafodeSentencia"/>
        <w:rPr>
          <w:b w:val="0"/>
        </w:rPr>
      </w:pPr>
      <w:r w:rsidRPr="00BB03CE">
        <w:rPr>
          <w:b w:val="0"/>
        </w:rPr>
        <w:t>L</w:t>
      </w:r>
      <w:r w:rsidR="00C87BEA" w:rsidRPr="00BB03CE">
        <w:rPr>
          <w:b w:val="0"/>
        </w:rPr>
        <w:t>a Corte estimó</w:t>
      </w:r>
      <w:r w:rsidRPr="00BB03CE">
        <w:rPr>
          <w:b w:val="0"/>
        </w:rPr>
        <w:t xml:space="preserve"> adecuadamente</w:t>
      </w:r>
      <w:r w:rsidR="00C87BEA" w:rsidRPr="00BB03CE">
        <w:rPr>
          <w:b w:val="0"/>
        </w:rPr>
        <w:t xml:space="preserve"> que el diseño del proceso disciplinario que culminó en la imposición de la aludida sanción resultó violatorio de la garantía de imparcialidad </w:t>
      </w:r>
      <w:r w:rsidR="00AF3759" w:rsidRPr="00BB03CE">
        <w:rPr>
          <w:b w:val="0"/>
        </w:rPr>
        <w:t>porque</w:t>
      </w:r>
      <w:r w:rsidR="00C87BEA" w:rsidRPr="00BB03CE">
        <w:rPr>
          <w:b w:val="0"/>
        </w:rPr>
        <w:t xml:space="preserve"> la misma autoridad que presentó los cargos fue la que resolvió respecto a la responsabilidad del señor Petro, concentrandose en la Sala Discipliciplaria </w:t>
      </w:r>
      <w:r w:rsidR="00AF3759" w:rsidRPr="00BB03CE">
        <w:rPr>
          <w:b w:val="0"/>
        </w:rPr>
        <w:t xml:space="preserve">de la Procuraduría General </w:t>
      </w:r>
      <w:r w:rsidR="00C87BEA" w:rsidRPr="00BB03CE">
        <w:rPr>
          <w:b w:val="0"/>
        </w:rPr>
        <w:t>las atribuciones investigativas, acusatorias y sancionatorias</w:t>
      </w:r>
      <w:r w:rsidR="00AB264B" w:rsidRPr="00BB03CE">
        <w:rPr>
          <w:b w:val="0"/>
        </w:rPr>
        <w:t xml:space="preserve">, lo que conllevó a que esta </w:t>
      </w:r>
      <w:r w:rsidR="004F68A4" w:rsidRPr="00BB03CE">
        <w:rPr>
          <w:b w:val="0"/>
        </w:rPr>
        <w:t xml:space="preserve">instancia </w:t>
      </w:r>
      <w:r w:rsidR="00AB264B" w:rsidRPr="00BB03CE">
        <w:rPr>
          <w:b w:val="0"/>
        </w:rPr>
        <w:t>alberg</w:t>
      </w:r>
      <w:r w:rsidR="004F68A4" w:rsidRPr="00BB03CE">
        <w:rPr>
          <w:b w:val="0"/>
        </w:rPr>
        <w:t>ue</w:t>
      </w:r>
      <w:r w:rsidR="00AB264B" w:rsidRPr="00BB03CE">
        <w:rPr>
          <w:b w:val="0"/>
        </w:rPr>
        <w:t xml:space="preserve"> y aliment</w:t>
      </w:r>
      <w:r w:rsidR="004F68A4" w:rsidRPr="00BB03CE">
        <w:rPr>
          <w:b w:val="0"/>
        </w:rPr>
        <w:t>e</w:t>
      </w:r>
      <w:r w:rsidR="00AB264B" w:rsidRPr="00BB03CE">
        <w:rPr>
          <w:b w:val="0"/>
        </w:rPr>
        <w:t xml:space="preserve"> una </w:t>
      </w:r>
      <w:r w:rsidR="00AF3759" w:rsidRPr="00BB03CE">
        <w:rPr>
          <w:b w:val="0"/>
        </w:rPr>
        <w:t>idea preconcebida</w:t>
      </w:r>
      <w:r w:rsidR="00AB264B" w:rsidRPr="00BB03CE">
        <w:rPr>
          <w:b w:val="0"/>
        </w:rPr>
        <w:t xml:space="preserve"> y a la vez consistente</w:t>
      </w:r>
      <w:r w:rsidR="004F68A4" w:rsidRPr="00BB03CE">
        <w:rPr>
          <w:b w:val="0"/>
        </w:rPr>
        <w:t>, que surge con la</w:t>
      </w:r>
      <w:r w:rsidR="003D79E0" w:rsidRPr="00BB03CE">
        <w:rPr>
          <w:b w:val="0"/>
        </w:rPr>
        <w:t xml:space="preserve"> denuncia de la propia autoridad que a posteriori </w:t>
      </w:r>
      <w:r w:rsidR="004F68A4" w:rsidRPr="00BB03CE">
        <w:rPr>
          <w:b w:val="0"/>
        </w:rPr>
        <w:t>investiga, ratifica</w:t>
      </w:r>
      <w:r w:rsidR="003D79E0" w:rsidRPr="00BB03CE">
        <w:rPr>
          <w:b w:val="0"/>
        </w:rPr>
        <w:t xml:space="preserve"> </w:t>
      </w:r>
      <w:r w:rsidR="004F68A4" w:rsidRPr="00BB03CE">
        <w:rPr>
          <w:b w:val="0"/>
        </w:rPr>
        <w:t xml:space="preserve">la acusación y </w:t>
      </w:r>
      <w:r w:rsidR="00D323CB" w:rsidRPr="00BB03CE">
        <w:rPr>
          <w:b w:val="0"/>
        </w:rPr>
        <w:t>finalmente</w:t>
      </w:r>
      <w:r w:rsidR="003D79E0" w:rsidRPr="00BB03CE">
        <w:rPr>
          <w:b w:val="0"/>
        </w:rPr>
        <w:t xml:space="preserve"> emite </w:t>
      </w:r>
      <w:r w:rsidR="004F68A4" w:rsidRPr="00BB03CE">
        <w:rPr>
          <w:b w:val="0"/>
        </w:rPr>
        <w:t>la sanción</w:t>
      </w:r>
      <w:r w:rsidR="00AF3759" w:rsidRPr="00BB03CE">
        <w:rPr>
          <w:b w:val="0"/>
        </w:rPr>
        <w:t xml:space="preserve"> acerca de la responsabilidad disciplinaria del señor Petro</w:t>
      </w:r>
      <w:r w:rsidR="004F68A4" w:rsidRPr="00BB03CE">
        <w:rPr>
          <w:b w:val="0"/>
        </w:rPr>
        <w:t>.</w:t>
      </w:r>
      <w:r w:rsidR="00AF3759" w:rsidRPr="00BB03CE">
        <w:rPr>
          <w:b w:val="0"/>
        </w:rPr>
        <w:t xml:space="preserve"> Estas violaciones al debido proceso tornaron en ilusorio el derecho de defensa del señor Petro. </w:t>
      </w:r>
    </w:p>
    <w:p w14:paraId="47A9E367" w14:textId="77777777" w:rsidR="00616259" w:rsidRPr="008F2044" w:rsidRDefault="00616259" w:rsidP="00BB03CE">
      <w:pPr>
        <w:pStyle w:val="PrrafodeSentencia"/>
      </w:pPr>
    </w:p>
    <w:p w14:paraId="5B85B9BD" w14:textId="77777777" w:rsidR="00616259" w:rsidRPr="008F2044" w:rsidRDefault="00616259" w:rsidP="00BB03CE">
      <w:pPr>
        <w:pStyle w:val="PrrafodeSentencia"/>
      </w:pPr>
      <w:r w:rsidRPr="008F2044">
        <w:t xml:space="preserve">II. </w:t>
      </w:r>
      <w:r w:rsidR="00F315A2" w:rsidRPr="008F2044">
        <w:t>La ausencia de condena al Estado por los actos de discriminación en perjuicio de la víctima</w:t>
      </w:r>
    </w:p>
    <w:p w14:paraId="343360E7" w14:textId="5311E8AE" w:rsidR="00616259" w:rsidRDefault="00616259" w:rsidP="00BB03CE">
      <w:pPr>
        <w:pStyle w:val="PrrafodeSentencia"/>
      </w:pPr>
    </w:p>
    <w:p w14:paraId="3F9D1876" w14:textId="77777777" w:rsidR="006209D4" w:rsidRPr="00BB03CE" w:rsidRDefault="006209D4" w:rsidP="006209D4">
      <w:pPr>
        <w:pStyle w:val="PrrafodeSentencia"/>
        <w:rPr>
          <w:b w:val="0"/>
        </w:rPr>
      </w:pPr>
      <w:r w:rsidRPr="00BB03CE">
        <w:rPr>
          <w:b w:val="0"/>
        </w:rPr>
        <w:t>Concuerdo con el razonamiento central de la mayoría en lo que respecta a los derechos políticos y las garantías judiciales, en este caso, principalmente por que esta decisión ratifica y reafirma de manera nítida y fuera de toda duda que los derechos políticos estan protegidos en su integralidad por el sistema convencional e internacional de los derechos humanos, quedando manifiesto que está impedida su restricción o limitación por decisiones adoptadas al márgen de esta normativa, sean estas políticas, judiciales o administrativas que no rindan tributo a las garantías del debido proceso.</w:t>
      </w:r>
    </w:p>
    <w:p w14:paraId="08C0389E" w14:textId="77777777" w:rsidR="006209D4" w:rsidRPr="00BB03CE" w:rsidRDefault="006209D4" w:rsidP="006209D4">
      <w:pPr>
        <w:pStyle w:val="PrrafodeSentencia"/>
        <w:rPr>
          <w:b w:val="0"/>
        </w:rPr>
      </w:pPr>
    </w:p>
    <w:p w14:paraId="5148BF64" w14:textId="4D9E58B4" w:rsidR="006209D4" w:rsidRPr="00BB03CE" w:rsidRDefault="006209D4" w:rsidP="006209D4">
      <w:pPr>
        <w:pStyle w:val="PrrafodeSentencia"/>
        <w:rPr>
          <w:b w:val="0"/>
        </w:rPr>
      </w:pPr>
      <w:r w:rsidRPr="00BB03CE">
        <w:rPr>
          <w:b w:val="0"/>
        </w:rPr>
        <w:t xml:space="preserve">Sin embargo, la decisión de la mayoría, siendo la adecuada, conforme lo dicho, se torna en insuficiente y limitada, ya que en mi razonamiento, lamentablemente no alcanzó a cubrir un derecho de inmensas </w:t>
      </w:r>
      <w:r>
        <w:rPr>
          <w:b w:val="0"/>
        </w:rPr>
        <w:t>consecuencias</w:t>
      </w:r>
      <w:r w:rsidRPr="00BB03CE">
        <w:rPr>
          <w:b w:val="0"/>
        </w:rPr>
        <w:t xml:space="preserve">: la discriminación en razón de las ideas o credo político. </w:t>
      </w:r>
    </w:p>
    <w:p w14:paraId="6EE34FCB" w14:textId="77777777" w:rsidR="006209D4" w:rsidRPr="00BB03CE" w:rsidRDefault="006209D4" w:rsidP="006209D4">
      <w:pPr>
        <w:pStyle w:val="PrrafodeSentencia"/>
        <w:rPr>
          <w:b w:val="0"/>
        </w:rPr>
      </w:pPr>
    </w:p>
    <w:p w14:paraId="2179113D" w14:textId="71563709" w:rsidR="006209D4" w:rsidRPr="00BB03CE" w:rsidRDefault="006209D4" w:rsidP="006209D4">
      <w:pPr>
        <w:pStyle w:val="PrrafodeSentencia"/>
        <w:rPr>
          <w:b w:val="0"/>
        </w:rPr>
      </w:pPr>
      <w:r w:rsidRPr="00BB03CE">
        <w:rPr>
          <w:b w:val="0"/>
        </w:rPr>
        <w:lastRenderedPageBreak/>
        <w:t>En circunstancias</w:t>
      </w:r>
      <w:r>
        <w:rPr>
          <w:b w:val="0"/>
        </w:rPr>
        <w:t xml:space="preserve"> </w:t>
      </w:r>
      <w:r w:rsidRPr="00BB03CE">
        <w:rPr>
          <w:b w:val="0"/>
        </w:rPr>
        <w:t>de</w:t>
      </w:r>
      <w:r>
        <w:rPr>
          <w:b w:val="0"/>
        </w:rPr>
        <w:t>l</w:t>
      </w:r>
      <w:r w:rsidRPr="00BB03CE">
        <w:rPr>
          <w:b w:val="0"/>
        </w:rPr>
        <w:t xml:space="preserve"> context</w:t>
      </w:r>
      <w:r w:rsidR="00DB599B">
        <w:rPr>
          <w:b w:val="0"/>
        </w:rPr>
        <w:t>o, regio</w:t>
      </w:r>
      <w:r>
        <w:rPr>
          <w:b w:val="0"/>
        </w:rPr>
        <w:t>nal e internacional</w:t>
      </w:r>
      <w:r w:rsidRPr="00BB03CE">
        <w:rPr>
          <w:b w:val="0"/>
        </w:rPr>
        <w:t>,</w:t>
      </w:r>
      <w:r>
        <w:rPr>
          <w:b w:val="0"/>
        </w:rPr>
        <w:t xml:space="preserve"> donde la academia, la justicia, así como actores soci</w:t>
      </w:r>
      <w:r w:rsidR="00DB599B">
        <w:rPr>
          <w:b w:val="0"/>
        </w:rPr>
        <w:t>ales y políticos, estan encendie</w:t>
      </w:r>
      <w:r>
        <w:rPr>
          <w:b w:val="0"/>
        </w:rPr>
        <w:t xml:space="preserve">ndo sus preocupaciones frente a eventuales y no aisladas prácticas de injerencia en la dinámica del debate democrático, bajo modalidades en apariencia revestidas de legalidad, </w:t>
      </w:r>
      <w:r w:rsidRPr="00BB03CE">
        <w:rPr>
          <w:b w:val="0"/>
        </w:rPr>
        <w:t xml:space="preserve">es imprescindible que volvamos a </w:t>
      </w:r>
      <w:r>
        <w:rPr>
          <w:b w:val="0"/>
        </w:rPr>
        <w:t>reafirmar</w:t>
      </w:r>
      <w:r w:rsidRPr="00BB03CE">
        <w:rPr>
          <w:b w:val="0"/>
        </w:rPr>
        <w:t xml:space="preserve"> </w:t>
      </w:r>
      <w:r>
        <w:rPr>
          <w:b w:val="0"/>
        </w:rPr>
        <w:t xml:space="preserve">algunas de </w:t>
      </w:r>
      <w:r w:rsidRPr="00BB03CE">
        <w:rPr>
          <w:b w:val="0"/>
        </w:rPr>
        <w:t>las fuentes originarias que alimentan y sostienen un estado republicano: el derecho a disentir, a la diversidad de opiniones y credo</w:t>
      </w:r>
      <w:r>
        <w:rPr>
          <w:b w:val="0"/>
        </w:rPr>
        <w:t>s y a la participación política en el marco de un régimen de democracia electoral representativa</w:t>
      </w:r>
      <w:r w:rsidRPr="00BB03CE">
        <w:rPr>
          <w:b w:val="0"/>
        </w:rPr>
        <w:t>. Principios,</w:t>
      </w:r>
      <w:r w:rsidR="00DB599B">
        <w:rPr>
          <w:b w:val="0"/>
        </w:rPr>
        <w:t xml:space="preserve"> </w:t>
      </w:r>
      <w:r w:rsidRPr="00BB03CE">
        <w:rPr>
          <w:b w:val="0"/>
        </w:rPr>
        <w:t>valores y reglas que al asumirlos ya incorporados en la praxis institucional, hemos dado por sentado su cómoda existencia, sin percatarnos que lenta</w:t>
      </w:r>
      <w:r>
        <w:rPr>
          <w:b w:val="0"/>
        </w:rPr>
        <w:t>,</w:t>
      </w:r>
      <w:r w:rsidRPr="00BB03CE">
        <w:rPr>
          <w:b w:val="0"/>
        </w:rPr>
        <w:t xml:space="preserve"> pero sistemáticamente</w:t>
      </w:r>
      <w:r>
        <w:rPr>
          <w:b w:val="0"/>
        </w:rPr>
        <w:t>,</w:t>
      </w:r>
      <w:r w:rsidR="008B65EB">
        <w:rPr>
          <w:b w:val="0"/>
        </w:rPr>
        <w:t xml:space="preserve"> se </w:t>
      </w:r>
      <w:r w:rsidRPr="00BB03CE">
        <w:rPr>
          <w:b w:val="0"/>
        </w:rPr>
        <w:t xml:space="preserve">van diluyendo, al calor de prácticas, </w:t>
      </w:r>
      <w:r>
        <w:rPr>
          <w:b w:val="0"/>
        </w:rPr>
        <w:t xml:space="preserve">sea </w:t>
      </w:r>
      <w:r w:rsidRPr="00BB03CE">
        <w:rPr>
          <w:b w:val="0"/>
        </w:rPr>
        <w:t>de carácter violeto o explícito,</w:t>
      </w:r>
      <w:r w:rsidR="00456346">
        <w:rPr>
          <w:b w:val="0"/>
        </w:rPr>
        <w:t xml:space="preserve"> </w:t>
      </w:r>
      <w:r>
        <w:rPr>
          <w:b w:val="0"/>
        </w:rPr>
        <w:t>o,</w:t>
      </w:r>
      <w:r w:rsidRPr="00BB03CE">
        <w:rPr>
          <w:b w:val="0"/>
        </w:rPr>
        <w:t xml:space="preserve"> por el uso, cada vez menos soterrado, de actuaciones formalizadas </w:t>
      </w:r>
      <w:r>
        <w:rPr>
          <w:b w:val="0"/>
        </w:rPr>
        <w:t>en</w:t>
      </w:r>
      <w:r w:rsidRPr="00BB03CE">
        <w:rPr>
          <w:b w:val="0"/>
        </w:rPr>
        <w:t xml:space="preserve"> marcos institucionales,</w:t>
      </w:r>
      <w:r>
        <w:rPr>
          <w:b w:val="0"/>
        </w:rPr>
        <w:t xml:space="preserve"> que </w:t>
      </w:r>
      <w:r w:rsidRPr="00BB03CE">
        <w:rPr>
          <w:b w:val="0"/>
        </w:rPr>
        <w:t>de no ser oportunamente identificadas y contenidas jurídicament</w:t>
      </w:r>
      <w:r>
        <w:rPr>
          <w:b w:val="0"/>
        </w:rPr>
        <w:t>e</w:t>
      </w:r>
      <w:r w:rsidRPr="00BB03CE">
        <w:rPr>
          <w:b w:val="0"/>
        </w:rPr>
        <w:t xml:space="preserve">, </w:t>
      </w:r>
      <w:r>
        <w:rPr>
          <w:b w:val="0"/>
        </w:rPr>
        <w:t xml:space="preserve">podrían </w:t>
      </w:r>
      <w:r w:rsidRPr="00BB03CE">
        <w:rPr>
          <w:b w:val="0"/>
        </w:rPr>
        <w:t xml:space="preserve">favorecer </w:t>
      </w:r>
      <w:r>
        <w:rPr>
          <w:b w:val="0"/>
        </w:rPr>
        <w:t xml:space="preserve">a un </w:t>
      </w:r>
      <w:r w:rsidRPr="00BB03CE">
        <w:rPr>
          <w:b w:val="0"/>
        </w:rPr>
        <w:t>progresivo e irreparabe d</w:t>
      </w:r>
      <w:r>
        <w:rPr>
          <w:b w:val="0"/>
        </w:rPr>
        <w:t>eterioro</w:t>
      </w:r>
      <w:r w:rsidRPr="00BB03CE">
        <w:rPr>
          <w:b w:val="0"/>
        </w:rPr>
        <w:t xml:space="preserve"> de los principios fundacionales del sistema interamericano</w:t>
      </w:r>
      <w:r>
        <w:rPr>
          <w:b w:val="0"/>
        </w:rPr>
        <w:t xml:space="preserve"> y su orden público</w:t>
      </w:r>
      <w:r w:rsidRPr="00BB03CE">
        <w:rPr>
          <w:b w:val="0"/>
        </w:rPr>
        <w:t>, poniéndo en serio entredicho el modelo republicano de derecho.</w:t>
      </w:r>
    </w:p>
    <w:p w14:paraId="71182E4E" w14:textId="47B55109" w:rsidR="006209D4" w:rsidRDefault="006209D4" w:rsidP="00BB03CE">
      <w:pPr>
        <w:pStyle w:val="PrrafodeSentencia"/>
      </w:pPr>
    </w:p>
    <w:p w14:paraId="52F29B69" w14:textId="10C2FE21" w:rsidR="006D207B" w:rsidRPr="008F2044" w:rsidRDefault="0046423B" w:rsidP="00BB03CE">
      <w:pPr>
        <w:pStyle w:val="PrrafodeSentencia"/>
      </w:pPr>
      <w:r w:rsidRPr="008F2044">
        <w:t xml:space="preserve">III. </w:t>
      </w:r>
      <w:r w:rsidR="006D207B" w:rsidRPr="008F2044">
        <w:t>R</w:t>
      </w:r>
      <w:r w:rsidR="00A65F2D" w:rsidRPr="008F2044">
        <w:t>azones para</w:t>
      </w:r>
      <w:r w:rsidR="00BB03CE">
        <w:t xml:space="preserve"> la </w:t>
      </w:r>
      <w:r w:rsidR="006D567A">
        <w:t>d</w:t>
      </w:r>
      <w:r w:rsidR="006D567A" w:rsidRPr="006D567A">
        <w:t>isidencia</w:t>
      </w:r>
    </w:p>
    <w:p w14:paraId="08B38A8C" w14:textId="77777777" w:rsidR="00EA45B5" w:rsidRDefault="00EA45B5" w:rsidP="00EA45B5">
      <w:pPr>
        <w:pStyle w:val="PrrafodeSentencia"/>
        <w:rPr>
          <w:b w:val="0"/>
          <w:highlight w:val="lightGray"/>
        </w:rPr>
      </w:pPr>
    </w:p>
    <w:p w14:paraId="501C6506" w14:textId="79DC04DD" w:rsidR="00EA45B5" w:rsidRPr="005F7836" w:rsidRDefault="00EA45B5" w:rsidP="00EA45B5">
      <w:pPr>
        <w:pStyle w:val="PrrafodeSentencia"/>
        <w:rPr>
          <w:b w:val="0"/>
        </w:rPr>
      </w:pPr>
      <w:r w:rsidRPr="005F7836">
        <w:rPr>
          <w:b w:val="0"/>
        </w:rPr>
        <w:t>En este punto, es menester cuestionarse si es posible superar la rigidez del análisis procesal constreñido a los hechos y pruebas actuadas y reconocidas en el Informe de Fondo de la Comisión, para considerarlas como concluyentes y por tanto excluyentes. En ese sentido, lo primero que hay que recordar es que el artículo 58 del Reglamento de la Corte faculta al Tribunal a que “en cualquier estado de la causa”, procure “de oficio toda prueba que considere útil y necesaria. En particular, podrá oír en calidad de presunta víctima, testigo, perito o por otro título, a cualquier persona cuya declaración, testimonio, u opinión estime pertinente”. De este artículo se desprende con claridad que, como juzgadores, estamos facultados a mirar distintos elementos que nos permitan obtener información verificable para lograr una justa decisión. De hecho, la Corte ha llevado a cabo esta práctica en diversas ocasiones, cuando realiza investigaciones propias o convoca declarantes de oficio para tener una mejor apreciación de los elementos de prueba aún cuando estos no hayan sido aportados por las partes o por la Comisión</w:t>
      </w:r>
      <w:r w:rsidRPr="005F7836">
        <w:rPr>
          <w:rStyle w:val="Refdenotaalpie"/>
          <w:b w:val="0"/>
        </w:rPr>
        <w:footnoteReference w:id="1"/>
      </w:r>
      <w:r w:rsidRPr="005F7836">
        <w:rPr>
          <w:b w:val="0"/>
        </w:rPr>
        <w:t>.</w:t>
      </w:r>
    </w:p>
    <w:p w14:paraId="6C5C797C" w14:textId="77777777" w:rsidR="00EA45B5" w:rsidRPr="005F7836" w:rsidRDefault="00EA45B5" w:rsidP="00EA45B5">
      <w:pPr>
        <w:pStyle w:val="PrrafodeSentencia"/>
        <w:rPr>
          <w:b w:val="0"/>
        </w:rPr>
      </w:pPr>
    </w:p>
    <w:p w14:paraId="32AD6FE0" w14:textId="0C3755FE" w:rsidR="00EA45B5" w:rsidRPr="00BB03CE" w:rsidRDefault="00EA45B5" w:rsidP="00EA45B5">
      <w:pPr>
        <w:pStyle w:val="PrrafodeSentencia"/>
        <w:rPr>
          <w:b w:val="0"/>
        </w:rPr>
      </w:pPr>
      <w:r w:rsidRPr="005F7836">
        <w:rPr>
          <w:b w:val="0"/>
        </w:rPr>
        <w:t>En este caso, era necesario hacer uso de las facultades que el propio reglamento reconoce y acudir a otros medios de evaluación y ponderación para así poder recabar elementos, hechos y pruebas que permitieran descartar o aceptar los alegatos de los representantes respecto de su afirmación que la pluralidad de procesos disciplinarios abiertos, contra el señor Petro, no constituían meras actuaciones aisladas de la Procuraduría y otros órganos de control dentro del sistema jurídico colombiano, sino que eran parte de un contexto más amplio. En ese sentido, es pertinente refl</w:t>
      </w:r>
      <w:r w:rsidR="00456346">
        <w:rPr>
          <w:b w:val="0"/>
        </w:rPr>
        <w:t>exionar sobre la veracidad, o no</w:t>
      </w:r>
      <w:r w:rsidRPr="005F7836">
        <w:rPr>
          <w:b w:val="0"/>
        </w:rPr>
        <w:t>, de lo señalado por los representantes durante el proceso respecto que en este caso del señor Petro se puede evidenciar que  “las personas con ideologías políticas distintas y con una perspectiva de cambio social han sido silenciadas de diferentes maneras, incluso imponiendo desde la institucionalidad obstáculos que resultan afectando en medidas desproporcionadas su activismo político y social”</w:t>
      </w:r>
      <w:r w:rsidRPr="005F7836">
        <w:rPr>
          <w:rStyle w:val="Refdenotaalpie"/>
          <w:b w:val="0"/>
        </w:rPr>
        <w:footnoteReference w:id="2"/>
      </w:r>
      <w:r w:rsidRPr="005F7836">
        <w:rPr>
          <w:b w:val="0"/>
        </w:rPr>
        <w:t xml:space="preserve">. </w:t>
      </w:r>
    </w:p>
    <w:p w14:paraId="4F740C3E" w14:textId="77777777" w:rsidR="00350277" w:rsidRDefault="00350277" w:rsidP="00BB03CE">
      <w:pPr>
        <w:pStyle w:val="PrrafodeSentencia"/>
        <w:rPr>
          <w:b w:val="0"/>
        </w:rPr>
      </w:pPr>
    </w:p>
    <w:p w14:paraId="42347664" w14:textId="77777777" w:rsidR="00350277" w:rsidRDefault="00350277" w:rsidP="00BB03CE">
      <w:pPr>
        <w:pStyle w:val="PrrafodeSentencia"/>
        <w:rPr>
          <w:b w:val="0"/>
        </w:rPr>
      </w:pPr>
    </w:p>
    <w:p w14:paraId="5781B8F0" w14:textId="77777777" w:rsidR="00350277" w:rsidRDefault="00350277" w:rsidP="00BB03CE">
      <w:pPr>
        <w:pStyle w:val="PrrafodeSentencia"/>
        <w:rPr>
          <w:b w:val="0"/>
        </w:rPr>
      </w:pPr>
    </w:p>
    <w:p w14:paraId="7CE2FED0" w14:textId="77777777" w:rsidR="00350277" w:rsidRDefault="00350277" w:rsidP="00BB03CE">
      <w:pPr>
        <w:pStyle w:val="PrrafodeSentencia"/>
        <w:rPr>
          <w:b w:val="0"/>
        </w:rPr>
      </w:pPr>
    </w:p>
    <w:p w14:paraId="3045A7B5" w14:textId="77777777" w:rsidR="00350277" w:rsidRDefault="00350277" w:rsidP="00BB03CE">
      <w:pPr>
        <w:pStyle w:val="PrrafodeSentencia"/>
        <w:rPr>
          <w:b w:val="0"/>
        </w:rPr>
      </w:pPr>
    </w:p>
    <w:p w14:paraId="6E552140" w14:textId="643CAA22" w:rsidR="0037190B" w:rsidRPr="00BB03CE" w:rsidRDefault="00944DC1" w:rsidP="00BB03CE">
      <w:pPr>
        <w:pStyle w:val="PrrafodeSentencia"/>
        <w:rPr>
          <w:b w:val="0"/>
        </w:rPr>
      </w:pPr>
      <w:r w:rsidRPr="00BB03CE">
        <w:rPr>
          <w:b w:val="0"/>
        </w:rPr>
        <w:t xml:space="preserve">Hay que recordar que </w:t>
      </w:r>
      <w:r w:rsidR="00B84892" w:rsidRPr="00BB03CE">
        <w:rPr>
          <w:b w:val="0"/>
        </w:rPr>
        <w:t xml:space="preserve">el señor </w:t>
      </w:r>
      <w:r w:rsidRPr="00BB03CE">
        <w:rPr>
          <w:b w:val="0"/>
        </w:rPr>
        <w:t>Petro expresó en la audiencia pública su</w:t>
      </w:r>
      <w:r w:rsidR="00B84892" w:rsidRPr="00BB03CE">
        <w:rPr>
          <w:b w:val="0"/>
        </w:rPr>
        <w:t xml:space="preserve"> filiación</w:t>
      </w:r>
      <w:r w:rsidRPr="00BB03CE">
        <w:rPr>
          <w:b w:val="0"/>
        </w:rPr>
        <w:t xml:space="preserve"> como</w:t>
      </w:r>
      <w:r w:rsidR="00A77A48" w:rsidRPr="00BB03CE">
        <w:rPr>
          <w:b w:val="0"/>
        </w:rPr>
        <w:t xml:space="preserve"> “un dirigente político de izquierda”</w:t>
      </w:r>
      <w:r w:rsidRPr="00BB03CE">
        <w:rPr>
          <w:b w:val="0"/>
        </w:rPr>
        <w:t xml:space="preserve">. </w:t>
      </w:r>
      <w:r w:rsidR="00A77A48" w:rsidRPr="00BB03CE">
        <w:rPr>
          <w:b w:val="0"/>
        </w:rPr>
        <w:t xml:space="preserve">Respecto de los procesos seguidos en su contra por la Procuraduría, </w:t>
      </w:r>
      <w:r w:rsidR="00D630E6">
        <w:rPr>
          <w:b w:val="0"/>
        </w:rPr>
        <w:t xml:space="preserve">aseveró </w:t>
      </w:r>
      <w:r w:rsidR="00A77A48" w:rsidRPr="00BB03CE">
        <w:rPr>
          <w:b w:val="0"/>
        </w:rPr>
        <w:t>que en virtud de los ejes democráticos propuestos por su gobierno cuando fue Alcalde de Bogotá “vino una resistencia institucional no de la sociedad sino del Estado m</w:t>
      </w:r>
      <w:r w:rsidR="00AE1F05" w:rsidRPr="00BB03CE">
        <w:rPr>
          <w:b w:val="0"/>
        </w:rPr>
        <w:t xml:space="preserve">ismo contra esa administración. </w:t>
      </w:r>
      <w:r w:rsidR="00A77A48" w:rsidRPr="00BB03CE">
        <w:rPr>
          <w:b w:val="0"/>
        </w:rPr>
        <w:t>Los procesos disciplinarios de autoridades administrativas como el procurador o de los contralores se circunscribieron a perseguir la política pública que yo agenciaba a través de los decretos que expedía”</w:t>
      </w:r>
      <w:r w:rsidR="00CE1B26" w:rsidRPr="00BB03CE">
        <w:rPr>
          <w:rStyle w:val="Refdenotaalpie"/>
          <w:b w:val="0"/>
        </w:rPr>
        <w:footnoteReference w:id="3"/>
      </w:r>
      <w:r w:rsidR="004C52DB" w:rsidRPr="00BB03CE">
        <w:rPr>
          <w:b w:val="0"/>
        </w:rPr>
        <w:t>, manifestó.</w:t>
      </w:r>
      <w:r w:rsidR="00AE1F05" w:rsidRPr="00BB03CE">
        <w:rPr>
          <w:b w:val="0"/>
        </w:rPr>
        <w:t xml:space="preserve"> </w:t>
      </w:r>
    </w:p>
    <w:p w14:paraId="52E98C82" w14:textId="77777777" w:rsidR="0037190B" w:rsidRPr="00BB03CE" w:rsidRDefault="0037190B" w:rsidP="00BB03CE">
      <w:pPr>
        <w:pStyle w:val="PrrafodeSentencia"/>
        <w:rPr>
          <w:b w:val="0"/>
        </w:rPr>
      </w:pPr>
    </w:p>
    <w:p w14:paraId="64C04598" w14:textId="3A6F72F6" w:rsidR="00A77A48" w:rsidRPr="00BB03CE" w:rsidRDefault="00CC0295" w:rsidP="00BB03CE">
      <w:pPr>
        <w:pStyle w:val="PrrafodeSentencia"/>
        <w:rPr>
          <w:b w:val="0"/>
        </w:rPr>
      </w:pPr>
      <w:r w:rsidRPr="00CC0295">
        <w:rPr>
          <w:b w:val="0"/>
        </w:rPr>
        <w:t>Una lectura</w:t>
      </w:r>
      <w:r w:rsidR="00816D95">
        <w:rPr>
          <w:b w:val="0"/>
        </w:rPr>
        <w:t xml:space="preserve"> </w:t>
      </w:r>
      <w:r w:rsidR="00D630E6">
        <w:rPr>
          <w:b w:val="0"/>
        </w:rPr>
        <w:t>”ramificada y relacional”</w:t>
      </w:r>
      <w:r w:rsidRPr="00CC0295">
        <w:rPr>
          <w:b w:val="0"/>
        </w:rPr>
        <w:t xml:space="preserve"> de las declaraciones públicas que ha realizado el</w:t>
      </w:r>
      <w:r>
        <w:rPr>
          <w:b w:val="0"/>
        </w:rPr>
        <w:t xml:space="preserve"> entonces</w:t>
      </w:r>
      <w:r w:rsidRPr="00CC0295">
        <w:rPr>
          <w:b w:val="0"/>
        </w:rPr>
        <w:t xml:space="preserve"> Prucurardor</w:t>
      </w:r>
      <w:r>
        <w:rPr>
          <w:b w:val="0"/>
        </w:rPr>
        <w:t xml:space="preserve"> General, </w:t>
      </w:r>
      <w:r w:rsidR="00A77A48" w:rsidRPr="00BB03CE">
        <w:rPr>
          <w:b w:val="0"/>
        </w:rPr>
        <w:t xml:space="preserve">quien se presentó como precandidato presidencial a las elecciones de 2018, a las que también concurrió el señor Petro, </w:t>
      </w:r>
      <w:r>
        <w:rPr>
          <w:b w:val="0"/>
        </w:rPr>
        <w:t>habría permitido tener una mayor comprensión acerca de los motivos detrás de las decisiones sancionatorias que emitió la Procuradu</w:t>
      </w:r>
      <w:r w:rsidR="00C23661">
        <w:rPr>
          <w:b w:val="0"/>
        </w:rPr>
        <w:t>r</w:t>
      </w:r>
      <w:r>
        <w:rPr>
          <w:b w:val="0"/>
        </w:rPr>
        <w:t xml:space="preserve">ía. </w:t>
      </w:r>
      <w:r w:rsidR="00C23661">
        <w:rPr>
          <w:b w:val="0"/>
        </w:rPr>
        <w:t>Desde esa lectura posible,</w:t>
      </w:r>
      <w:r>
        <w:rPr>
          <w:b w:val="0"/>
        </w:rPr>
        <w:t xml:space="preserve"> no pueden pasar desapercibidas las</w:t>
      </w:r>
      <w:r w:rsidR="00CC3E15" w:rsidRPr="00BB03CE">
        <w:rPr>
          <w:b w:val="0"/>
        </w:rPr>
        <w:t xml:space="preserve"> expresiones públicas</w:t>
      </w:r>
      <w:r>
        <w:rPr>
          <w:b w:val="0"/>
        </w:rPr>
        <w:t xml:space="preserve"> del entonces Procurador cuando</w:t>
      </w:r>
      <w:r w:rsidR="00CC3E15" w:rsidRPr="00BB03CE">
        <w:rPr>
          <w:b w:val="0"/>
        </w:rPr>
        <w:t xml:space="preserve"> </w:t>
      </w:r>
      <w:r w:rsidR="00A77A48" w:rsidRPr="00BB03CE">
        <w:rPr>
          <w:b w:val="0"/>
        </w:rPr>
        <w:t>se refirió a la necesidad de “recuperar el país y alejarlo de la amenaza del socialismo del siglo XXI que encarna la izquierda”</w:t>
      </w:r>
      <w:r w:rsidR="00A77A48" w:rsidRPr="00BB03CE">
        <w:rPr>
          <w:rStyle w:val="Refdenotaalpie"/>
          <w:b w:val="0"/>
        </w:rPr>
        <w:footnoteReference w:id="4"/>
      </w:r>
      <w:r w:rsidR="00A77A48" w:rsidRPr="00BB03CE">
        <w:rPr>
          <w:b w:val="0"/>
        </w:rPr>
        <w:t>.</w:t>
      </w:r>
      <w:r>
        <w:rPr>
          <w:b w:val="0"/>
        </w:rPr>
        <w:t xml:space="preserve"> O</w:t>
      </w:r>
      <w:r w:rsidR="00C23661">
        <w:rPr>
          <w:b w:val="0"/>
        </w:rPr>
        <w:t xml:space="preserve">, cuando </w:t>
      </w:r>
      <w:r>
        <w:rPr>
          <w:b w:val="0"/>
        </w:rPr>
        <w:t>r</w:t>
      </w:r>
      <w:r w:rsidR="00A77A48" w:rsidRPr="00BB03CE">
        <w:rPr>
          <w:b w:val="0"/>
        </w:rPr>
        <w:t xml:space="preserve">efiriendose en concreto al señor Petro, y </w:t>
      </w:r>
      <w:r w:rsidR="00C23661">
        <w:rPr>
          <w:b w:val="0"/>
        </w:rPr>
        <w:t>específicamente al</w:t>
      </w:r>
      <w:r w:rsidR="00A77A48" w:rsidRPr="00BB03CE">
        <w:rPr>
          <w:b w:val="0"/>
        </w:rPr>
        <w:t xml:space="preserve"> proceso disciplinario adelantado en su contra, expresó públicamente lo siguiente: “Hablando de fanáticos: Gustavo Petro asesinó colombianos, quemó el Palacio de Justicia y no pagó por sus crímenes. Ahora pretende victimizarse porque sancionamos su probada ineficiencia como alcalde de Bogotá”</w:t>
      </w:r>
      <w:r w:rsidR="00A77A48" w:rsidRPr="00BB03CE">
        <w:rPr>
          <w:rStyle w:val="Refdenotaalpie"/>
          <w:rFonts w:cs="Segoe UI"/>
          <w:b w:val="0"/>
        </w:rPr>
        <w:footnoteReference w:id="5"/>
      </w:r>
      <w:r w:rsidR="00CE1B26" w:rsidRPr="00BB03CE">
        <w:rPr>
          <w:b w:val="0"/>
        </w:rPr>
        <w:t>. E</w:t>
      </w:r>
      <w:r w:rsidR="00A77A48" w:rsidRPr="00BB03CE">
        <w:rPr>
          <w:b w:val="0"/>
        </w:rPr>
        <w:t>n otras declaraciones, el entonces Procurador General acusó al señor Petro de haber negociado políticamente la resolución del Consejo de Estado de 15 de noviembre de 2017</w:t>
      </w:r>
      <w:r w:rsidR="00A77A48" w:rsidRPr="00BB03CE">
        <w:rPr>
          <w:rStyle w:val="Refdenotaalpie"/>
          <w:b w:val="0"/>
        </w:rPr>
        <w:footnoteReference w:id="6"/>
      </w:r>
      <w:r w:rsidR="00A77A48" w:rsidRPr="00BB03CE">
        <w:rPr>
          <w:b w:val="0"/>
        </w:rPr>
        <w:t>.</w:t>
      </w:r>
    </w:p>
    <w:p w14:paraId="3F3AC76A" w14:textId="77777777" w:rsidR="00A77A48" w:rsidRPr="00BB03CE" w:rsidRDefault="00A77A48" w:rsidP="00BB03CE">
      <w:pPr>
        <w:pStyle w:val="PrrafodeSentencia"/>
        <w:rPr>
          <w:b w:val="0"/>
        </w:rPr>
      </w:pPr>
    </w:p>
    <w:p w14:paraId="4D00F643" w14:textId="2511940B" w:rsidR="00A77A48" w:rsidRPr="00BB03CE" w:rsidRDefault="006F77F1" w:rsidP="00BB03CE">
      <w:pPr>
        <w:pStyle w:val="PrrafodeSentencia"/>
        <w:rPr>
          <w:b w:val="0"/>
        </w:rPr>
      </w:pPr>
      <w:r w:rsidRPr="00BB03CE">
        <w:rPr>
          <w:b w:val="0"/>
        </w:rPr>
        <w:t xml:space="preserve">También es importante recordar </w:t>
      </w:r>
      <w:r w:rsidR="00A77A48" w:rsidRPr="00BB03CE">
        <w:rPr>
          <w:b w:val="0"/>
        </w:rPr>
        <w:t xml:space="preserve">que en su declaración escrita ante </w:t>
      </w:r>
      <w:r w:rsidRPr="00BB03CE">
        <w:rPr>
          <w:b w:val="0"/>
        </w:rPr>
        <w:t>la Corte</w:t>
      </w:r>
      <w:r w:rsidR="00A77A48" w:rsidRPr="00BB03CE">
        <w:rPr>
          <w:b w:val="0"/>
        </w:rPr>
        <w:t xml:space="preserve">, el actual Senador Iván Cepeda, quien al igual que el señor Petro se identifica como un político de oposición y </w:t>
      </w:r>
      <w:r w:rsidR="00CC3E15" w:rsidRPr="00BB03CE">
        <w:rPr>
          <w:b w:val="0"/>
        </w:rPr>
        <w:t xml:space="preserve">que </w:t>
      </w:r>
      <w:r w:rsidR="00A77A48" w:rsidRPr="00BB03CE">
        <w:rPr>
          <w:b w:val="0"/>
        </w:rPr>
        <w:t xml:space="preserve">fue sujeto a procesos de investigación por parte de la Procuraduría General, </w:t>
      </w:r>
      <w:r w:rsidR="00CC3E15" w:rsidRPr="00BB03CE">
        <w:rPr>
          <w:b w:val="0"/>
        </w:rPr>
        <w:t>expuso ante la Cort</w:t>
      </w:r>
      <w:r w:rsidR="00133261" w:rsidRPr="00BB03CE">
        <w:rPr>
          <w:b w:val="0"/>
        </w:rPr>
        <w:t>e hechos</w:t>
      </w:r>
      <w:r w:rsidR="00FD0598" w:rsidRPr="00BB03CE">
        <w:rPr>
          <w:b w:val="0"/>
        </w:rPr>
        <w:t xml:space="preserve"> </w:t>
      </w:r>
      <w:r w:rsidR="00A77A48" w:rsidRPr="00BB03CE">
        <w:rPr>
          <w:b w:val="0"/>
        </w:rPr>
        <w:t xml:space="preserve">del </w:t>
      </w:r>
      <w:r w:rsidR="00CE1B26" w:rsidRPr="00BB03CE">
        <w:rPr>
          <w:b w:val="0"/>
        </w:rPr>
        <w:t xml:space="preserve">entonces Procurador </w:t>
      </w:r>
      <w:r w:rsidR="00A77A48" w:rsidRPr="00BB03CE">
        <w:rPr>
          <w:b w:val="0"/>
        </w:rPr>
        <w:t xml:space="preserve">en el marco de los procesos disciplinarios seguidos en su contra </w:t>
      </w:r>
      <w:r w:rsidR="00133261" w:rsidRPr="00BB03CE">
        <w:rPr>
          <w:b w:val="0"/>
        </w:rPr>
        <w:t xml:space="preserve">que en su opinión </w:t>
      </w:r>
      <w:r w:rsidR="00A77A48" w:rsidRPr="00BB03CE">
        <w:rPr>
          <w:b w:val="0"/>
        </w:rPr>
        <w:t>tenían una “intencionalidad política”, dirigida a “limitar [su] ejercicio de [sus] funciones como congresista, en especial, el derecho a ejercer control político y [su] labor de defensa de la paz y de los derechos humanos”. En particular, manifestó que “es evidente la intensión de menoscabar mis derechos y el ejercicio de mi actividad parlamentaria, y el interés que tuvo el entonces Procurador</w:t>
      </w:r>
      <w:r w:rsidR="00CE1B26" w:rsidRPr="00BB03CE">
        <w:rPr>
          <w:b w:val="0"/>
        </w:rPr>
        <w:t xml:space="preserve"> (…)</w:t>
      </w:r>
      <w:r w:rsidR="00A77A48" w:rsidRPr="00BB03CE">
        <w:rPr>
          <w:b w:val="0"/>
        </w:rPr>
        <w:t>, quien (…) violentó mis derechos a la presunción de inocencia, al debido proceso y al derecho a la d</w:t>
      </w:r>
      <w:r w:rsidR="00AE1F05" w:rsidRPr="00BB03CE">
        <w:rPr>
          <w:b w:val="0"/>
        </w:rPr>
        <w:t xml:space="preserve">efensa durante las actuaciones”. </w:t>
      </w:r>
    </w:p>
    <w:p w14:paraId="38F4507E" w14:textId="039E70AB" w:rsidR="00A77A48" w:rsidRPr="00BB03CE" w:rsidRDefault="00A77A48" w:rsidP="00BB03CE">
      <w:pPr>
        <w:pStyle w:val="PrrafodeSentencia"/>
        <w:rPr>
          <w:b w:val="0"/>
        </w:rPr>
      </w:pPr>
    </w:p>
    <w:p w14:paraId="0FC0B7AF" w14:textId="67AD5AD4" w:rsidR="00140236" w:rsidRPr="00BB03CE" w:rsidRDefault="00A77A48" w:rsidP="00BB03CE">
      <w:pPr>
        <w:pStyle w:val="PrrafodeSentencia"/>
        <w:rPr>
          <w:b w:val="0"/>
        </w:rPr>
      </w:pPr>
      <w:r w:rsidRPr="00BB03CE">
        <w:rPr>
          <w:b w:val="0"/>
        </w:rPr>
        <w:t>El uso por parte del entonces Procurador General de</w:t>
      </w:r>
      <w:r w:rsidR="002666CA">
        <w:rPr>
          <w:b w:val="0"/>
        </w:rPr>
        <w:t>l</w:t>
      </w:r>
      <w:r w:rsidRPr="00BB03CE">
        <w:rPr>
          <w:b w:val="0"/>
        </w:rPr>
        <w:t xml:space="preserve"> </w:t>
      </w:r>
      <w:r w:rsidR="002666CA">
        <w:rPr>
          <w:b w:val="0"/>
        </w:rPr>
        <w:t xml:space="preserve">adjetivo descalificador y despectivo de “fanático”, </w:t>
      </w:r>
      <w:r w:rsidRPr="00BB03CE">
        <w:rPr>
          <w:b w:val="0"/>
        </w:rPr>
        <w:t>para referirse al señor Petro</w:t>
      </w:r>
      <w:r w:rsidR="002666CA">
        <w:rPr>
          <w:b w:val="0"/>
        </w:rPr>
        <w:t>,</w:t>
      </w:r>
      <w:r w:rsidRPr="00BB03CE">
        <w:rPr>
          <w:b w:val="0"/>
        </w:rPr>
        <w:t xml:space="preserve"> en declaraciones específicas respecto al proceso disciplinario iniciado en su contra,</w:t>
      </w:r>
      <w:r w:rsidR="00144B5F">
        <w:rPr>
          <w:b w:val="0"/>
        </w:rPr>
        <w:t xml:space="preserve"> así</w:t>
      </w:r>
      <w:r w:rsidR="00C23661">
        <w:rPr>
          <w:b w:val="0"/>
        </w:rPr>
        <w:t xml:space="preserve"> como la </w:t>
      </w:r>
      <w:r w:rsidR="002666CA">
        <w:rPr>
          <w:b w:val="0"/>
        </w:rPr>
        <w:t xml:space="preserve">imputación pública del cometimiento de graves </w:t>
      </w:r>
      <w:r w:rsidR="002666CA">
        <w:rPr>
          <w:b w:val="0"/>
        </w:rPr>
        <w:lastRenderedPageBreak/>
        <w:t>ilícitos penales,</w:t>
      </w:r>
      <w:r w:rsidRPr="00BB03CE">
        <w:rPr>
          <w:b w:val="0"/>
        </w:rPr>
        <w:t xml:space="preserve"> sumado a los cuestionamientos de la defensa sobre la falta de imparcialidad subjetiva en el referido proceso, </w:t>
      </w:r>
      <w:r w:rsidR="00CC0295">
        <w:rPr>
          <w:b w:val="0"/>
        </w:rPr>
        <w:t>y</w:t>
      </w:r>
      <w:r w:rsidR="00272C7A">
        <w:rPr>
          <w:b w:val="0"/>
        </w:rPr>
        <w:t>, por último,</w:t>
      </w:r>
      <w:r w:rsidR="00CC0295">
        <w:rPr>
          <w:b w:val="0"/>
        </w:rPr>
        <w:t xml:space="preserve"> </w:t>
      </w:r>
      <w:r w:rsidRPr="00BB03CE">
        <w:rPr>
          <w:b w:val="0"/>
        </w:rPr>
        <w:t xml:space="preserve">las declaraciones del Senador Iván Cepeda acerca de los motivos políticos subyacentes en las actuaciones disciplinarias </w:t>
      </w:r>
      <w:r w:rsidR="00CC0295">
        <w:rPr>
          <w:b w:val="0"/>
        </w:rPr>
        <w:t>de la Procuraduría</w:t>
      </w:r>
      <w:r w:rsidR="00C301F3" w:rsidRPr="00BB03CE">
        <w:rPr>
          <w:b w:val="0"/>
        </w:rPr>
        <w:t>, permitían</w:t>
      </w:r>
      <w:r w:rsidRPr="00BB03CE">
        <w:rPr>
          <w:b w:val="0"/>
        </w:rPr>
        <w:t xml:space="preserve"> inferi</w:t>
      </w:r>
      <w:r w:rsidR="00AE1F05" w:rsidRPr="00BB03CE">
        <w:rPr>
          <w:b w:val="0"/>
        </w:rPr>
        <w:t xml:space="preserve">r que el proceso disciplinario </w:t>
      </w:r>
      <w:r w:rsidRPr="00BB03CE">
        <w:rPr>
          <w:b w:val="0"/>
        </w:rPr>
        <w:t>y los actos y</w:t>
      </w:r>
      <w:r w:rsidR="00C301F3" w:rsidRPr="00BB03CE">
        <w:rPr>
          <w:b w:val="0"/>
        </w:rPr>
        <w:t xml:space="preserve"> resoluciones derivados</w:t>
      </w:r>
      <w:r w:rsidR="001161A8" w:rsidRPr="00BB03CE">
        <w:rPr>
          <w:b w:val="0"/>
        </w:rPr>
        <w:t xml:space="preserve">, </w:t>
      </w:r>
      <w:r w:rsidRPr="00BB03CE">
        <w:rPr>
          <w:b w:val="0"/>
        </w:rPr>
        <w:t xml:space="preserve">no </w:t>
      </w:r>
      <w:r w:rsidR="00272C7A">
        <w:rPr>
          <w:b w:val="0"/>
        </w:rPr>
        <w:t xml:space="preserve">solo que no </w:t>
      </w:r>
      <w:r w:rsidRPr="00BB03CE">
        <w:rPr>
          <w:b w:val="0"/>
        </w:rPr>
        <w:t>estuvieron amparados en derecho,</w:t>
      </w:r>
      <w:r w:rsidR="00144B5F">
        <w:rPr>
          <w:b w:val="0"/>
        </w:rPr>
        <w:t xml:space="preserve"> conforme lo declara la S</w:t>
      </w:r>
      <w:r w:rsidR="009B6DA7" w:rsidRPr="00BB03CE">
        <w:rPr>
          <w:b w:val="0"/>
        </w:rPr>
        <w:t>entencia</w:t>
      </w:r>
      <w:r w:rsidR="00FD0598" w:rsidRPr="00BB03CE">
        <w:rPr>
          <w:b w:val="0"/>
        </w:rPr>
        <w:t>,</w:t>
      </w:r>
      <w:r w:rsidRPr="00BB03CE">
        <w:rPr>
          <w:b w:val="0"/>
        </w:rPr>
        <w:t xml:space="preserve"> sino que</w:t>
      </w:r>
      <w:r w:rsidR="00272C7A">
        <w:rPr>
          <w:b w:val="0"/>
        </w:rPr>
        <w:t xml:space="preserve">, adicionalmente, estas actuaciones se agravaban en perjucio del recurrente por que estaban claramente alimentadas y </w:t>
      </w:r>
      <w:r w:rsidRPr="00BB03CE">
        <w:rPr>
          <w:b w:val="0"/>
        </w:rPr>
        <w:t xml:space="preserve">obedecieron a prejuicios sobre </w:t>
      </w:r>
      <w:r w:rsidR="00272C7A">
        <w:rPr>
          <w:b w:val="0"/>
        </w:rPr>
        <w:t xml:space="preserve">el credo, </w:t>
      </w:r>
      <w:r w:rsidRPr="00BB03CE">
        <w:rPr>
          <w:b w:val="0"/>
        </w:rPr>
        <w:t>la ideología política del señor Petro</w:t>
      </w:r>
      <w:r w:rsidR="0037190B" w:rsidRPr="00BB03CE">
        <w:rPr>
          <w:b w:val="0"/>
        </w:rPr>
        <w:t xml:space="preserve"> y </w:t>
      </w:r>
      <w:r w:rsidR="00C301F3" w:rsidRPr="00BB03CE">
        <w:rPr>
          <w:b w:val="0"/>
        </w:rPr>
        <w:t xml:space="preserve">por lo tanto </w:t>
      </w:r>
      <w:r w:rsidR="0037190B" w:rsidRPr="00BB03CE">
        <w:rPr>
          <w:b w:val="0"/>
        </w:rPr>
        <w:t>constituyeron actos de discriminación encubierta y una desviación de poder.</w:t>
      </w:r>
    </w:p>
    <w:p w14:paraId="669EA559" w14:textId="77777777" w:rsidR="0024227A" w:rsidRPr="00BB03CE" w:rsidRDefault="0024227A" w:rsidP="00BB03CE">
      <w:pPr>
        <w:pStyle w:val="PrrafodeSentencia"/>
        <w:rPr>
          <w:b w:val="0"/>
        </w:rPr>
      </w:pPr>
    </w:p>
    <w:p w14:paraId="74E324FF" w14:textId="0324C30A" w:rsidR="009B2667" w:rsidRPr="00CC0295" w:rsidRDefault="009B2667" w:rsidP="00BB03CE">
      <w:pPr>
        <w:pStyle w:val="PrrafodeSentencia"/>
        <w:rPr>
          <w:b w:val="0"/>
        </w:rPr>
      </w:pPr>
      <w:r w:rsidRPr="00CC0295">
        <w:rPr>
          <w:b w:val="0"/>
        </w:rPr>
        <w:t>La Corte ha hecho ya una reflexión</w:t>
      </w:r>
      <w:r w:rsidR="00223B4F" w:rsidRPr="00CC0295">
        <w:rPr>
          <w:b w:val="0"/>
        </w:rPr>
        <w:t xml:space="preserve"> en los casos de </w:t>
      </w:r>
      <w:r w:rsidR="00223B4F" w:rsidRPr="00CC0295">
        <w:rPr>
          <w:b w:val="0"/>
          <w:i/>
        </w:rPr>
        <w:t xml:space="preserve">Granier y otros (Radio Caracas Televisión) Vs. Venezuela </w:t>
      </w:r>
      <w:r w:rsidR="00223B4F" w:rsidRPr="00CC0295">
        <w:rPr>
          <w:b w:val="0"/>
        </w:rPr>
        <w:t xml:space="preserve">y </w:t>
      </w:r>
      <w:r w:rsidR="00223B4F" w:rsidRPr="00CC0295">
        <w:rPr>
          <w:b w:val="0"/>
          <w:i/>
        </w:rPr>
        <w:t xml:space="preserve">San Miguel Sosa y otras Vs. Venezuela </w:t>
      </w:r>
      <w:r w:rsidRPr="00CC0295">
        <w:rPr>
          <w:b w:val="0"/>
        </w:rPr>
        <w:t>sobre procesos que gozan de una apariencia de legalidad, pero que en realidad tienen una motivación discriminatoria</w:t>
      </w:r>
      <w:r w:rsidRPr="00CC0295">
        <w:rPr>
          <w:rStyle w:val="Refdenotaalpie"/>
          <w:b w:val="0"/>
        </w:rPr>
        <w:footnoteReference w:id="7"/>
      </w:r>
      <w:r w:rsidRPr="00CC0295">
        <w:rPr>
          <w:b w:val="0"/>
        </w:rPr>
        <w:t xml:space="preserve">. </w:t>
      </w:r>
      <w:r w:rsidR="00223B4F" w:rsidRPr="00CC0295">
        <w:rPr>
          <w:b w:val="0"/>
        </w:rPr>
        <w:t>En esos casos</w:t>
      </w:r>
      <w:r w:rsidR="00BB03CE" w:rsidRPr="00CC0295">
        <w:rPr>
          <w:b w:val="0"/>
        </w:rPr>
        <w:t>,</w:t>
      </w:r>
      <w:r w:rsidR="00223B4F" w:rsidRPr="00CC0295">
        <w:rPr>
          <w:b w:val="0"/>
        </w:rPr>
        <w:t xml:space="preserve"> l</w:t>
      </w:r>
      <w:r w:rsidRPr="00CC0295">
        <w:rPr>
          <w:b w:val="0"/>
        </w:rPr>
        <w:t xml:space="preserve">a Corte </w:t>
      </w:r>
      <w:r w:rsidR="00223B4F" w:rsidRPr="00CC0295">
        <w:rPr>
          <w:b w:val="0"/>
        </w:rPr>
        <w:t>se ha referido a</w:t>
      </w:r>
      <w:r w:rsidRPr="00CC0295">
        <w:rPr>
          <w:b w:val="0"/>
        </w:rPr>
        <w:t xml:space="preserve"> la discriminación como 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sidRPr="00CC0295">
        <w:rPr>
          <w:rStyle w:val="Refdenotaalpie"/>
          <w:b w:val="0"/>
        </w:rPr>
        <w:footnoteReference w:id="8"/>
      </w:r>
      <w:r w:rsidRPr="00CC0295">
        <w:rPr>
          <w:b w:val="0"/>
        </w:rPr>
        <w:t>.</w:t>
      </w:r>
    </w:p>
    <w:p w14:paraId="490F3542" w14:textId="77777777" w:rsidR="009B2667" w:rsidRPr="00CC0295" w:rsidRDefault="009B2667" w:rsidP="00BB03CE">
      <w:pPr>
        <w:pStyle w:val="PrrafodeSentencia"/>
        <w:rPr>
          <w:b w:val="0"/>
        </w:rPr>
      </w:pPr>
    </w:p>
    <w:p w14:paraId="677B1119" w14:textId="77E40D9D" w:rsidR="009B2667" w:rsidRPr="00CC0295" w:rsidRDefault="00223B4F" w:rsidP="00BB03CE">
      <w:pPr>
        <w:pStyle w:val="PrrafodeSentencia"/>
        <w:rPr>
          <w:b w:val="0"/>
        </w:rPr>
      </w:pPr>
      <w:r w:rsidRPr="00CC0295">
        <w:rPr>
          <w:b w:val="0"/>
        </w:rPr>
        <w:t>También ha destacado que e</w:t>
      </w:r>
      <w:r w:rsidR="009B2667" w:rsidRPr="00CC0295">
        <w:rPr>
          <w:b w:val="0"/>
        </w:rPr>
        <w:t>l artículo 1.1 de la Convención es una norma de carácter general cuyo contenido se extiende a todas las disposiciones del tratado, y</w:t>
      </w:r>
      <w:r w:rsidRPr="00CC0295">
        <w:rPr>
          <w:b w:val="0"/>
        </w:rPr>
        <w:t xml:space="preserve"> ha dispuesto</w:t>
      </w:r>
      <w:r w:rsidR="009B2667" w:rsidRPr="00CC0295">
        <w:rPr>
          <w:b w:val="0"/>
        </w:rPr>
        <w:t xml:space="preserve"> la obligación de los Estados Parte de respetar y garantizar el pleno y libre ejercicio de los derechos y libertades allí reconocidos “sin discriminación alguna”. Es decir, </w:t>
      </w:r>
      <w:r w:rsidRPr="00CC0295">
        <w:rPr>
          <w:b w:val="0"/>
        </w:rPr>
        <w:t xml:space="preserve">que </w:t>
      </w:r>
      <w:r w:rsidR="009B2667" w:rsidRPr="00CC0295">
        <w:rPr>
          <w:b w:val="0"/>
        </w:rPr>
        <w:t xml:space="preserve">cualquiera sea el origen o la forma que asuma, todo tratamiento que pueda ser considerado discriminatorio respecto del ejercicio de cualquiera de los derechos garantizados en la Convención es </w:t>
      </w:r>
      <w:r w:rsidR="009B2667" w:rsidRPr="00CC0295">
        <w:rPr>
          <w:b w:val="0"/>
          <w:i/>
        </w:rPr>
        <w:t>per se</w:t>
      </w:r>
      <w:r w:rsidR="009B2667" w:rsidRPr="00CC0295">
        <w:rPr>
          <w:b w:val="0"/>
        </w:rPr>
        <w:t xml:space="preserve"> incompatible con la misma</w:t>
      </w:r>
      <w:r w:rsidR="009B2667" w:rsidRPr="00CC0295">
        <w:rPr>
          <w:rStyle w:val="Refdenotaalpie"/>
          <w:b w:val="0"/>
        </w:rPr>
        <w:footnoteReference w:id="9"/>
      </w:r>
      <w:r w:rsidR="009B2667" w:rsidRPr="00CC0295">
        <w:rPr>
          <w:b w:val="0"/>
        </w:rPr>
        <w:t xml:space="preserve">. </w:t>
      </w:r>
      <w:r w:rsidRPr="00CC0295">
        <w:rPr>
          <w:b w:val="0"/>
        </w:rPr>
        <w:t>También ha señalado que e</w:t>
      </w:r>
      <w:r w:rsidR="009B2667" w:rsidRPr="00CC0295">
        <w:rPr>
          <w:b w:val="0"/>
        </w:rPr>
        <w:t>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w:t>
      </w:r>
      <w:r w:rsidR="009B2667" w:rsidRPr="00CC0295">
        <w:rPr>
          <w:rStyle w:val="Refdenotaalpie"/>
          <w:b w:val="0"/>
        </w:rPr>
        <w:footnoteReference w:id="10"/>
      </w:r>
      <w:r w:rsidR="009B2667" w:rsidRPr="00CC0295">
        <w:rPr>
          <w:b w:val="0"/>
        </w:rPr>
        <w:t>.</w:t>
      </w:r>
    </w:p>
    <w:p w14:paraId="69A6EF3B" w14:textId="77777777" w:rsidR="009B2667" w:rsidRPr="00CC0295" w:rsidRDefault="009B2667" w:rsidP="00BB03CE">
      <w:pPr>
        <w:pStyle w:val="PrrafodeSentencia"/>
        <w:rPr>
          <w:b w:val="0"/>
        </w:rPr>
      </w:pPr>
    </w:p>
    <w:p w14:paraId="7788308B" w14:textId="06D8D6FC" w:rsidR="009B2667" w:rsidRPr="00CC0295" w:rsidRDefault="00223B4F" w:rsidP="00BB03CE">
      <w:pPr>
        <w:pStyle w:val="PrrafodeSentencia"/>
        <w:rPr>
          <w:b w:val="0"/>
        </w:rPr>
      </w:pPr>
      <w:r w:rsidRPr="00CC0295">
        <w:rPr>
          <w:b w:val="0"/>
        </w:rPr>
        <w:t>En razón de dich</w:t>
      </w:r>
      <w:r w:rsidR="005B3411">
        <w:rPr>
          <w:b w:val="0"/>
        </w:rPr>
        <w:t>o precedente jurisdiccional</w:t>
      </w:r>
      <w:r w:rsidRPr="00CC0295">
        <w:rPr>
          <w:b w:val="0"/>
        </w:rPr>
        <w:t>, en el caso de Petro correspondía</w:t>
      </w:r>
      <w:r w:rsidR="009B2667" w:rsidRPr="00CC0295">
        <w:rPr>
          <w:b w:val="0"/>
        </w:rPr>
        <w:t xml:space="preserve"> determinar si, más allá de la formalidad o potestad invocadas por la autori</w:t>
      </w:r>
      <w:r w:rsidRPr="00CC0295">
        <w:rPr>
          <w:b w:val="0"/>
        </w:rPr>
        <w:t>dad estatal para actuar, existían</w:t>
      </w:r>
      <w:r w:rsidR="009B2667" w:rsidRPr="00CC0295">
        <w:rPr>
          <w:b w:val="0"/>
        </w:rPr>
        <w:t xml:space="preserve"> evidencias para considerar que la motivación o propósito real del proceso disciplinario seguido en contra </w:t>
      </w:r>
      <w:r w:rsidRPr="00CC0295">
        <w:rPr>
          <w:b w:val="0"/>
        </w:rPr>
        <w:t>suya</w:t>
      </w:r>
      <w:r w:rsidR="009B2667" w:rsidRPr="00CC0295">
        <w:rPr>
          <w:b w:val="0"/>
        </w:rPr>
        <w:t xml:space="preserve"> fue ejercer alguna forma de represalia, persecución o discriminación encubiertas</w:t>
      </w:r>
      <w:r w:rsidRPr="00CC0295">
        <w:rPr>
          <w:b w:val="0"/>
        </w:rPr>
        <w:t xml:space="preserve">. En este sentido, </w:t>
      </w:r>
      <w:r w:rsidR="00567941" w:rsidRPr="00CC0295">
        <w:rPr>
          <w:b w:val="0"/>
        </w:rPr>
        <w:t>la Corte</w:t>
      </w:r>
      <w:r w:rsidR="009B2667" w:rsidRPr="00CC0295">
        <w:rPr>
          <w:b w:val="0"/>
        </w:rPr>
        <w:t xml:space="preserve"> </w:t>
      </w:r>
      <w:r w:rsidRPr="00CC0295">
        <w:rPr>
          <w:b w:val="0"/>
        </w:rPr>
        <w:t xml:space="preserve">ha estimado </w:t>
      </w:r>
      <w:r w:rsidR="009B2667" w:rsidRPr="00CC0295">
        <w:rPr>
          <w:b w:val="0"/>
        </w:rPr>
        <w:t xml:space="preserve">que, en la medida en que se alega un acto de persecución, discriminación o represalia encubiertos o una interferencia arbitraria o indirecta en el ejercicio de un derecho, es relevante tomar en cuenta </w:t>
      </w:r>
      <w:r w:rsidR="009B2667" w:rsidRPr="00CC0295">
        <w:rPr>
          <w:b w:val="0"/>
          <w:color w:val="000000"/>
        </w:rPr>
        <w:t xml:space="preserve">que el motivo o propósito de un determinado acto de las autoridades estatales cobra </w:t>
      </w:r>
      <w:r w:rsidR="009B2667" w:rsidRPr="00CC0295">
        <w:rPr>
          <w:b w:val="0"/>
        </w:rPr>
        <w:t xml:space="preserve">significación </w:t>
      </w:r>
      <w:r w:rsidR="009B2667" w:rsidRPr="00CC0295">
        <w:rPr>
          <w:b w:val="0"/>
          <w:color w:val="000000"/>
        </w:rPr>
        <w:t xml:space="preserve">para el análisis </w:t>
      </w:r>
      <w:r w:rsidR="009B2667" w:rsidRPr="00CC0295">
        <w:rPr>
          <w:b w:val="0"/>
          <w:color w:val="000000"/>
        </w:rPr>
        <w:lastRenderedPageBreak/>
        <w:t>jurídico de un caso</w:t>
      </w:r>
      <w:r w:rsidR="009B2667" w:rsidRPr="00CC0295">
        <w:rPr>
          <w:rStyle w:val="Refdenotaalpie"/>
          <w:b w:val="0"/>
        </w:rPr>
        <w:footnoteReference w:id="11"/>
      </w:r>
      <w:r w:rsidR="009B2667" w:rsidRPr="00CC0295">
        <w:rPr>
          <w:b w:val="0"/>
          <w:color w:val="000000"/>
        </w:rPr>
        <w:t>, por cuanto una motivación o un propósito distinto al de la norma que otorga las potestades a la autoridad estatal para actuar, puede llegar a demostrar si la acción puede ser considerada como actuación arbitraria</w:t>
      </w:r>
      <w:r w:rsidR="009B2667" w:rsidRPr="00CC0295">
        <w:rPr>
          <w:rStyle w:val="Refdenotaalpie"/>
          <w:rFonts w:eastAsia="ヒラギノ角ゴ Pro W3"/>
          <w:b w:val="0"/>
        </w:rPr>
        <w:footnoteReference w:id="12"/>
      </w:r>
      <w:r w:rsidR="009B2667" w:rsidRPr="00CC0295">
        <w:rPr>
          <w:b w:val="0"/>
          <w:color w:val="000000"/>
        </w:rPr>
        <w:t xml:space="preserve"> o una desviación de poder</w:t>
      </w:r>
      <w:r w:rsidR="009B2667" w:rsidRPr="00CC0295">
        <w:rPr>
          <w:rStyle w:val="Refdenotaalpie"/>
          <w:b w:val="0"/>
          <w:color w:val="000000"/>
        </w:rPr>
        <w:footnoteReference w:id="13"/>
      </w:r>
      <w:r w:rsidR="009B2667" w:rsidRPr="00CC0295">
        <w:rPr>
          <w:b w:val="0"/>
          <w:color w:val="000000"/>
        </w:rPr>
        <w:t xml:space="preserve">. </w:t>
      </w:r>
    </w:p>
    <w:p w14:paraId="6C689B8C" w14:textId="77777777" w:rsidR="00223B4F" w:rsidRPr="00CC0295" w:rsidRDefault="00223B4F" w:rsidP="00BB03CE">
      <w:pPr>
        <w:pStyle w:val="PrrafodeSentencia"/>
        <w:rPr>
          <w:b w:val="0"/>
        </w:rPr>
      </w:pPr>
    </w:p>
    <w:p w14:paraId="2FFFA785" w14:textId="64236D40" w:rsidR="009B2667" w:rsidRPr="00CC0295" w:rsidRDefault="00567941" w:rsidP="00BB03CE">
      <w:pPr>
        <w:pStyle w:val="PrrafodeSentencia"/>
        <w:rPr>
          <w:b w:val="0"/>
        </w:rPr>
      </w:pPr>
      <w:r w:rsidRPr="00CC0295">
        <w:rPr>
          <w:b w:val="0"/>
        </w:rPr>
        <w:t>L</w:t>
      </w:r>
      <w:r w:rsidR="00223B4F" w:rsidRPr="00CC0295">
        <w:rPr>
          <w:b w:val="0"/>
        </w:rPr>
        <w:t xml:space="preserve">a Corte pudo haber tomado </w:t>
      </w:r>
      <w:r w:rsidR="009B2667" w:rsidRPr="00CC0295">
        <w:rPr>
          <w:b w:val="0"/>
        </w:rPr>
        <w:t>como punto de partida que las actuaciones de las autoridades estatales están cubiertas por una presunción de comportamiento conforme a derecho</w:t>
      </w:r>
      <w:r w:rsidR="009B2667" w:rsidRPr="00CC0295">
        <w:rPr>
          <w:rStyle w:val="Refdenotaalpie"/>
          <w:b w:val="0"/>
          <w:color w:val="000000"/>
        </w:rPr>
        <w:footnoteReference w:id="14"/>
      </w:r>
      <w:r w:rsidR="009B2667" w:rsidRPr="00CC0295">
        <w:rPr>
          <w:b w:val="0"/>
        </w:rPr>
        <w:t>, por lo cual, para desvirtuar esta presunción de buena fe, una actuación irregular por parte de aquéllas tiene que aparecer probada</w:t>
      </w:r>
      <w:r w:rsidR="009B2667" w:rsidRPr="00CC0295">
        <w:rPr>
          <w:rStyle w:val="Refdenotaalpie"/>
          <w:rFonts w:cs="Arial"/>
          <w:b w:val="0"/>
          <w:lang w:eastAsia="de-DE"/>
        </w:rPr>
        <w:footnoteReference w:id="15"/>
      </w:r>
      <w:r w:rsidR="009B2667" w:rsidRPr="00CC0295">
        <w:rPr>
          <w:rFonts w:cs="Arial"/>
          <w:b w:val="0"/>
          <w:lang w:eastAsia="de-DE"/>
        </w:rPr>
        <w:t xml:space="preserve">. Para tales efectos, la Corte </w:t>
      </w:r>
      <w:r w:rsidR="00223B4F" w:rsidRPr="00CC0295">
        <w:rPr>
          <w:rFonts w:cs="Arial"/>
          <w:b w:val="0"/>
          <w:lang w:eastAsia="de-DE"/>
        </w:rPr>
        <w:t xml:space="preserve">pudo haber procedido a realizar el </w:t>
      </w:r>
      <w:r w:rsidR="009B2667" w:rsidRPr="00CC0295">
        <w:rPr>
          <w:rFonts w:cs="Arial"/>
          <w:b w:val="0"/>
          <w:lang w:eastAsia="de-DE"/>
        </w:rPr>
        <w:t xml:space="preserve">recuento de la prueba obrante en el expediente </w:t>
      </w:r>
      <w:r w:rsidR="00223B4F" w:rsidRPr="00CC0295">
        <w:rPr>
          <w:rFonts w:cs="Arial"/>
          <w:b w:val="0"/>
          <w:lang w:eastAsia="de-DE"/>
        </w:rPr>
        <w:t>–y aquella que considerara pertinente recabar de oficio, alguna de la</w:t>
      </w:r>
      <w:r w:rsidR="00BB03CE" w:rsidRPr="00CC0295">
        <w:rPr>
          <w:rFonts w:cs="Arial"/>
          <w:b w:val="0"/>
          <w:lang w:eastAsia="de-DE"/>
        </w:rPr>
        <w:t>s</w:t>
      </w:r>
      <w:r w:rsidR="00223B4F" w:rsidRPr="00CC0295">
        <w:rPr>
          <w:rFonts w:cs="Arial"/>
          <w:b w:val="0"/>
          <w:lang w:eastAsia="de-DE"/>
        </w:rPr>
        <w:t xml:space="preserve"> que ha</w:t>
      </w:r>
      <w:r w:rsidR="00BB03CE" w:rsidRPr="00CC0295">
        <w:rPr>
          <w:rFonts w:cs="Arial"/>
          <w:b w:val="0"/>
          <w:lang w:eastAsia="de-DE"/>
        </w:rPr>
        <w:t>n</w:t>
      </w:r>
      <w:r w:rsidR="00223B4F" w:rsidRPr="00CC0295">
        <w:rPr>
          <w:rFonts w:cs="Arial"/>
          <w:b w:val="0"/>
          <w:lang w:eastAsia="de-DE"/>
        </w:rPr>
        <w:t xml:space="preserve"> sido mencionada</w:t>
      </w:r>
      <w:r w:rsidR="00BB03CE" w:rsidRPr="00CC0295">
        <w:rPr>
          <w:rFonts w:cs="Arial"/>
          <w:b w:val="0"/>
          <w:lang w:eastAsia="de-DE"/>
        </w:rPr>
        <w:t>s</w:t>
      </w:r>
      <w:r w:rsidR="00223B4F" w:rsidRPr="00CC0295">
        <w:rPr>
          <w:rFonts w:cs="Arial"/>
          <w:b w:val="0"/>
          <w:lang w:eastAsia="de-DE"/>
        </w:rPr>
        <w:t xml:space="preserve"> en este voto- </w:t>
      </w:r>
      <w:r w:rsidR="009B2667" w:rsidRPr="00CC0295">
        <w:rPr>
          <w:rFonts w:cs="Arial"/>
          <w:b w:val="0"/>
          <w:lang w:eastAsia="de-DE"/>
        </w:rPr>
        <w:t>sobre la alegada finalidad no declarada y a examinar dicha prueba</w:t>
      </w:r>
      <w:r w:rsidR="009B2667" w:rsidRPr="00CC0295">
        <w:rPr>
          <w:rStyle w:val="Refdenotaalpie"/>
          <w:rFonts w:cs="Arial"/>
          <w:b w:val="0"/>
          <w:lang w:eastAsia="de-DE"/>
        </w:rPr>
        <w:footnoteReference w:id="16"/>
      </w:r>
      <w:r w:rsidR="009B2667" w:rsidRPr="00CC0295">
        <w:rPr>
          <w:rFonts w:cs="Arial"/>
          <w:b w:val="0"/>
          <w:lang w:eastAsia="de-DE"/>
        </w:rPr>
        <w:t xml:space="preserve">. </w:t>
      </w:r>
    </w:p>
    <w:p w14:paraId="18E0C494" w14:textId="77777777" w:rsidR="00223B4F" w:rsidRPr="00CC0295" w:rsidRDefault="00223B4F" w:rsidP="00BB03CE">
      <w:pPr>
        <w:pStyle w:val="PrrafodeSentencia"/>
        <w:rPr>
          <w:b w:val="0"/>
        </w:rPr>
      </w:pPr>
    </w:p>
    <w:p w14:paraId="57551DDF" w14:textId="145487D3" w:rsidR="009B2667" w:rsidRPr="00BB03CE" w:rsidRDefault="009B2667" w:rsidP="00BB03CE">
      <w:pPr>
        <w:pStyle w:val="PrrafodeSentencia"/>
        <w:rPr>
          <w:b w:val="0"/>
        </w:rPr>
      </w:pPr>
      <w:r w:rsidRPr="00CC0295">
        <w:rPr>
          <w:b w:val="0"/>
        </w:rPr>
        <w:t>En ese sentido,</w:t>
      </w:r>
      <w:r w:rsidR="00567941" w:rsidRPr="00CC0295">
        <w:rPr>
          <w:b w:val="0"/>
        </w:rPr>
        <w:t xml:space="preserve"> en mi opinión,</w:t>
      </w:r>
      <w:r w:rsidRPr="00CC0295">
        <w:rPr>
          <w:b w:val="0"/>
        </w:rPr>
        <w:t xml:space="preserve"> </w:t>
      </w:r>
      <w:r w:rsidR="00223B4F" w:rsidRPr="00CC0295">
        <w:rPr>
          <w:b w:val="0"/>
        </w:rPr>
        <w:t xml:space="preserve">al </w:t>
      </w:r>
      <w:r w:rsidR="00393FEA">
        <w:rPr>
          <w:b w:val="0"/>
        </w:rPr>
        <w:t>proponerse</w:t>
      </w:r>
      <w:r w:rsidR="00223B4F" w:rsidRPr="00CC0295">
        <w:rPr>
          <w:b w:val="0"/>
        </w:rPr>
        <w:t xml:space="preserve"> realiza</w:t>
      </w:r>
      <w:r w:rsidR="00393FEA">
        <w:rPr>
          <w:b w:val="0"/>
        </w:rPr>
        <w:t xml:space="preserve">r un </w:t>
      </w:r>
      <w:r w:rsidR="00223B4F" w:rsidRPr="00CC0295">
        <w:rPr>
          <w:b w:val="0"/>
        </w:rPr>
        <w:t xml:space="preserve">análisis </w:t>
      </w:r>
      <w:r w:rsidR="00F43A1A">
        <w:rPr>
          <w:b w:val="0"/>
        </w:rPr>
        <w:t>conglobado</w:t>
      </w:r>
      <w:r w:rsidR="00223B4F" w:rsidRPr="00CC0295">
        <w:rPr>
          <w:b w:val="0"/>
        </w:rPr>
        <w:t xml:space="preserve"> de</w:t>
      </w:r>
      <w:r w:rsidR="00F43A1A">
        <w:rPr>
          <w:b w:val="0"/>
        </w:rPr>
        <w:t xml:space="preserve"> los</w:t>
      </w:r>
      <w:r w:rsidR="00223B4F" w:rsidRPr="00CC0295">
        <w:rPr>
          <w:b w:val="0"/>
        </w:rPr>
        <w:t xml:space="preserve"> diferentes elementos probatorios, </w:t>
      </w:r>
      <w:r w:rsidRPr="00CC0295">
        <w:rPr>
          <w:b w:val="0"/>
        </w:rPr>
        <w:t>la Corte</w:t>
      </w:r>
      <w:r w:rsidR="00223B4F" w:rsidRPr="00CC0295">
        <w:rPr>
          <w:b w:val="0"/>
        </w:rPr>
        <w:t xml:space="preserve"> pudo haber advertido</w:t>
      </w:r>
      <w:r w:rsidRPr="00CC0295">
        <w:rPr>
          <w:b w:val="0"/>
        </w:rPr>
        <w:t xml:space="preserve"> que</w:t>
      </w:r>
      <w:r w:rsidR="00393FEA">
        <w:rPr>
          <w:b w:val="0"/>
        </w:rPr>
        <w:t>, valorados todos estos,</w:t>
      </w:r>
      <w:r w:rsidR="005F7836">
        <w:rPr>
          <w:b w:val="0"/>
        </w:rPr>
        <w:t xml:space="preserve"> </w:t>
      </w:r>
      <w:r w:rsidR="00F43A1A">
        <w:rPr>
          <w:b w:val="0"/>
        </w:rPr>
        <w:t>más,</w:t>
      </w:r>
      <w:r w:rsidRPr="00CC0295">
        <w:rPr>
          <w:b w:val="0"/>
        </w:rPr>
        <w:t xml:space="preserve"> los hechos a los que los representantes </w:t>
      </w:r>
      <w:r w:rsidR="00223B4F" w:rsidRPr="00CC0295">
        <w:rPr>
          <w:b w:val="0"/>
        </w:rPr>
        <w:t>hicieron</w:t>
      </w:r>
      <w:r w:rsidRPr="00CC0295">
        <w:rPr>
          <w:b w:val="0"/>
        </w:rPr>
        <w:t xml:space="preserve"> referencia para demostrar que la actuación de la Procuraduría estuvo motivada por </w:t>
      </w:r>
      <w:r w:rsidR="00393FEA">
        <w:rPr>
          <w:b w:val="0"/>
        </w:rPr>
        <w:t xml:space="preserve">claros e indudables desafectos con </w:t>
      </w:r>
      <w:r w:rsidRPr="00CC0295">
        <w:rPr>
          <w:b w:val="0"/>
        </w:rPr>
        <w:t>la op</w:t>
      </w:r>
      <w:r w:rsidR="00E75B46">
        <w:rPr>
          <w:b w:val="0"/>
        </w:rPr>
        <w:t>ción</w:t>
      </w:r>
      <w:r w:rsidRPr="00CC0295">
        <w:rPr>
          <w:b w:val="0"/>
        </w:rPr>
        <w:t xml:space="preserve"> política</w:t>
      </w:r>
      <w:r w:rsidR="00E75B46">
        <w:rPr>
          <w:b w:val="0"/>
        </w:rPr>
        <w:t xml:space="preserve"> que manifiesta y defiende </w:t>
      </w:r>
      <w:r w:rsidRPr="00CC0295">
        <w:rPr>
          <w:b w:val="0"/>
        </w:rPr>
        <w:t xml:space="preserve">el señor Petro, </w:t>
      </w:r>
      <w:r w:rsidR="00F43A1A">
        <w:rPr>
          <w:b w:val="0"/>
        </w:rPr>
        <w:t xml:space="preserve">claramente </w:t>
      </w:r>
      <w:r w:rsidR="00B67958">
        <w:rPr>
          <w:b w:val="0"/>
        </w:rPr>
        <w:t xml:space="preserve">se </w:t>
      </w:r>
      <w:r w:rsidR="00F43A1A">
        <w:rPr>
          <w:b w:val="0"/>
        </w:rPr>
        <w:t>configuraron</w:t>
      </w:r>
      <w:r w:rsidRPr="00CC0295">
        <w:rPr>
          <w:b w:val="0"/>
        </w:rPr>
        <w:t xml:space="preserve"> elementos suficientes para desvirtuar la presunción de legalidad de los actos de la Procuraduría en tanto </w:t>
      </w:r>
      <w:r w:rsidR="00223B4F" w:rsidRPr="00CC0295">
        <w:rPr>
          <w:b w:val="0"/>
        </w:rPr>
        <w:t>existieron</w:t>
      </w:r>
      <w:r w:rsidRPr="00CC0295">
        <w:rPr>
          <w:b w:val="0"/>
        </w:rPr>
        <w:t xml:space="preserve"> elementos fehacientes de prueba </w:t>
      </w:r>
      <w:r w:rsidR="00B67958">
        <w:rPr>
          <w:b w:val="0"/>
        </w:rPr>
        <w:t xml:space="preserve">que superan el nivel de </w:t>
      </w:r>
      <w:r w:rsidRPr="00CC0295">
        <w:rPr>
          <w:b w:val="0"/>
        </w:rPr>
        <w:t>las conjeturas</w:t>
      </w:r>
      <w:r w:rsidR="00B67958">
        <w:rPr>
          <w:b w:val="0"/>
        </w:rPr>
        <w:t xml:space="preserve"> alegadas por </w:t>
      </w:r>
      <w:r w:rsidRPr="00CC0295">
        <w:rPr>
          <w:b w:val="0"/>
        </w:rPr>
        <w:t xml:space="preserve">los representantes. Estos elementos, </w:t>
      </w:r>
      <w:r w:rsidR="00223B4F" w:rsidRPr="00CC0295">
        <w:rPr>
          <w:b w:val="0"/>
        </w:rPr>
        <w:t xml:space="preserve">tomados en su conjunto, </w:t>
      </w:r>
      <w:r w:rsidR="00E75B46">
        <w:rPr>
          <w:b w:val="0"/>
        </w:rPr>
        <w:t xml:space="preserve">en mi opinión, son lo suficientemente consistentes </w:t>
      </w:r>
      <w:r w:rsidRPr="00CC0295">
        <w:rPr>
          <w:b w:val="0"/>
        </w:rPr>
        <w:t>para demostrar que las acciones del Estado colombiano, en s</w:t>
      </w:r>
      <w:r w:rsidR="00223B4F" w:rsidRPr="00CC0295">
        <w:rPr>
          <w:b w:val="0"/>
        </w:rPr>
        <w:t>us distin</w:t>
      </w:r>
      <w:r w:rsidR="00BB03CE" w:rsidRPr="00CC0295">
        <w:rPr>
          <w:b w:val="0"/>
        </w:rPr>
        <w:t xml:space="preserve">tos niveles, estuvieron </w:t>
      </w:r>
      <w:r w:rsidR="00E75B46">
        <w:rPr>
          <w:b w:val="0"/>
        </w:rPr>
        <w:t>afectadas por estas percepciones de discriminación que con</w:t>
      </w:r>
      <w:r w:rsidR="00B67958">
        <w:rPr>
          <w:b w:val="0"/>
        </w:rPr>
        <w:t xml:space="preserve">cluyeron </w:t>
      </w:r>
      <w:r w:rsidR="00BC2ECA">
        <w:rPr>
          <w:b w:val="0"/>
        </w:rPr>
        <w:t>violando</w:t>
      </w:r>
      <w:r w:rsidR="00B67958">
        <w:rPr>
          <w:b w:val="0"/>
        </w:rPr>
        <w:t xml:space="preserve"> </w:t>
      </w:r>
      <w:r w:rsidR="00223B4F" w:rsidRPr="00CC0295">
        <w:rPr>
          <w:b w:val="0"/>
        </w:rPr>
        <w:t xml:space="preserve">los derechos políticos del señor Petro, </w:t>
      </w:r>
      <w:r w:rsidR="00E75B46">
        <w:rPr>
          <w:b w:val="0"/>
        </w:rPr>
        <w:t xml:space="preserve">para </w:t>
      </w:r>
      <w:r w:rsidR="00BC2ECA">
        <w:rPr>
          <w:b w:val="0"/>
        </w:rPr>
        <w:t>afectar</w:t>
      </w:r>
      <w:r w:rsidR="00223B4F" w:rsidRPr="00CC0295">
        <w:rPr>
          <w:b w:val="0"/>
        </w:rPr>
        <w:t xml:space="preserve"> su</w:t>
      </w:r>
      <w:r w:rsidRPr="00CC0295">
        <w:rPr>
          <w:b w:val="0"/>
        </w:rPr>
        <w:t xml:space="preserve"> </w:t>
      </w:r>
      <w:r w:rsidR="00BC2ECA">
        <w:rPr>
          <w:b w:val="0"/>
        </w:rPr>
        <w:t>continuidad</w:t>
      </w:r>
      <w:r w:rsidRPr="00CC0295">
        <w:rPr>
          <w:b w:val="0"/>
        </w:rPr>
        <w:t xml:space="preserve"> </w:t>
      </w:r>
      <w:r w:rsidR="00223B4F" w:rsidRPr="00CC0295">
        <w:rPr>
          <w:b w:val="0"/>
        </w:rPr>
        <w:t>en el</w:t>
      </w:r>
      <w:r w:rsidR="00BC2ECA">
        <w:rPr>
          <w:b w:val="0"/>
        </w:rPr>
        <w:t xml:space="preserve"> ejercicio del</w:t>
      </w:r>
      <w:r w:rsidR="00223B4F" w:rsidRPr="00CC0295">
        <w:rPr>
          <w:b w:val="0"/>
        </w:rPr>
        <w:t xml:space="preserve"> gobierno de la ciudad y</w:t>
      </w:r>
      <w:r w:rsidRPr="00CC0295">
        <w:rPr>
          <w:b w:val="0"/>
        </w:rPr>
        <w:t xml:space="preserve"> </w:t>
      </w:r>
      <w:r w:rsidR="00E75B46">
        <w:rPr>
          <w:b w:val="0"/>
        </w:rPr>
        <w:t xml:space="preserve">eventualmente </w:t>
      </w:r>
      <w:r w:rsidR="00BC2ECA">
        <w:rPr>
          <w:b w:val="0"/>
        </w:rPr>
        <w:t xml:space="preserve">su participación </w:t>
      </w:r>
      <w:r w:rsidRPr="00CC0295">
        <w:rPr>
          <w:b w:val="0"/>
        </w:rPr>
        <w:t>en las elecciones presidenciales del año 2018.</w:t>
      </w:r>
      <w:r w:rsidRPr="00BB03CE">
        <w:rPr>
          <w:b w:val="0"/>
        </w:rPr>
        <w:t xml:space="preserve"> </w:t>
      </w:r>
    </w:p>
    <w:p w14:paraId="7767D20B" w14:textId="77777777" w:rsidR="009B2667" w:rsidRPr="00BB03CE" w:rsidRDefault="009B2667" w:rsidP="00BB03CE">
      <w:pPr>
        <w:pStyle w:val="PrrafodeSentencia"/>
        <w:rPr>
          <w:b w:val="0"/>
        </w:rPr>
      </w:pPr>
    </w:p>
    <w:p w14:paraId="5F826B21" w14:textId="596981FA" w:rsidR="00E204C7" w:rsidRDefault="00567941" w:rsidP="00BB03CE">
      <w:pPr>
        <w:pStyle w:val="PrrafodeSentencia"/>
        <w:rPr>
          <w:b w:val="0"/>
        </w:rPr>
      </w:pPr>
      <w:r w:rsidRPr="00BB03CE">
        <w:rPr>
          <w:b w:val="0"/>
        </w:rPr>
        <w:t>E</w:t>
      </w:r>
      <w:r w:rsidR="00CE1B26" w:rsidRPr="00BB03CE">
        <w:rPr>
          <w:b w:val="0"/>
        </w:rPr>
        <w:t xml:space="preserve">l contexto de </w:t>
      </w:r>
      <w:r w:rsidR="005C16C2" w:rsidRPr="00BB03CE">
        <w:rPr>
          <w:b w:val="0"/>
        </w:rPr>
        <w:t>acoso</w:t>
      </w:r>
      <w:r w:rsidR="00CE1B26" w:rsidRPr="00BB03CE">
        <w:rPr>
          <w:b w:val="0"/>
        </w:rPr>
        <w:t xml:space="preserve"> institucional contra el señor Petro, además de configurar una violación a sus derechos políticos</w:t>
      </w:r>
      <w:r w:rsidR="00C301F3" w:rsidRPr="00BB03CE">
        <w:rPr>
          <w:b w:val="0"/>
        </w:rPr>
        <w:t xml:space="preserve"> y al debido proceso</w:t>
      </w:r>
      <w:r w:rsidR="00CE1B26" w:rsidRPr="00BB03CE">
        <w:rPr>
          <w:b w:val="0"/>
        </w:rPr>
        <w:t>, también generó una afectación a su integridad personal por la a</w:t>
      </w:r>
      <w:r w:rsidR="00E83471" w:rsidRPr="00BB03CE">
        <w:rPr>
          <w:b w:val="0"/>
        </w:rPr>
        <w:t xml:space="preserve">ngustía y sensanción de inseguridad que </w:t>
      </w:r>
      <w:r w:rsidR="00BC2ECA">
        <w:rPr>
          <w:b w:val="0"/>
        </w:rPr>
        <w:t>implica el</w:t>
      </w:r>
      <w:r w:rsidR="00E83471" w:rsidRPr="00BB03CE">
        <w:rPr>
          <w:b w:val="0"/>
        </w:rPr>
        <w:t xml:space="preserve"> saberse blanco constante de las autoridades y no poder desarrollar </w:t>
      </w:r>
      <w:r w:rsidR="00BC2ECA">
        <w:rPr>
          <w:b w:val="0"/>
        </w:rPr>
        <w:t>democraticamente</w:t>
      </w:r>
      <w:r w:rsidR="00E83471" w:rsidRPr="00BB03CE">
        <w:rPr>
          <w:b w:val="0"/>
        </w:rPr>
        <w:t xml:space="preserve"> su proyecto político, en nombre y representanción de sus electores.</w:t>
      </w:r>
      <w:r w:rsidR="0037190B" w:rsidRPr="00BB03CE">
        <w:rPr>
          <w:b w:val="0"/>
        </w:rPr>
        <w:t xml:space="preserve"> </w:t>
      </w:r>
      <w:r w:rsidR="00C57D4C" w:rsidRPr="00BB03CE">
        <w:rPr>
          <w:b w:val="0"/>
        </w:rPr>
        <w:t>La Corte tuvo la oportunidad de abordar todos estos elementos en la Sentencia y calificar adecuadamente las consecuencias que tuvieron en la integridad personal de Petro y de su familia. Haberlo hecho así habría demostrado cómo el actuar discriminatorio del Estado afectó de manera transversal los derechos políticos, las garantías judiciales, la protección judicial y la integridad personal de la víctima.</w:t>
      </w:r>
    </w:p>
    <w:p w14:paraId="32917D03" w14:textId="7E14403B" w:rsidR="00E204C7" w:rsidRPr="008F2044" w:rsidRDefault="00FD0598" w:rsidP="000E2A3C">
      <w:pPr>
        <w:spacing w:before="100" w:beforeAutospacing="1" w:after="100" w:afterAutospacing="1" w:line="240" w:lineRule="auto"/>
        <w:rPr>
          <w:rFonts w:ascii="Verdana" w:hAnsi="Verdana"/>
          <w:b/>
          <w:bCs/>
          <w:sz w:val="20"/>
          <w:szCs w:val="20"/>
        </w:rPr>
      </w:pPr>
      <w:r w:rsidRPr="008F2044">
        <w:rPr>
          <w:rFonts w:ascii="Verdana" w:hAnsi="Verdana"/>
          <w:b/>
          <w:bCs/>
          <w:sz w:val="20"/>
          <w:szCs w:val="20"/>
          <w:lang w:val="es-CO"/>
        </w:rPr>
        <w:lastRenderedPageBreak/>
        <w:t xml:space="preserve">IV. </w:t>
      </w:r>
      <w:r w:rsidR="0024227A" w:rsidRPr="008F2044">
        <w:rPr>
          <w:rFonts w:ascii="Verdana" w:hAnsi="Verdana"/>
          <w:b/>
          <w:bCs/>
          <w:sz w:val="20"/>
          <w:szCs w:val="20"/>
        </w:rPr>
        <w:t>Consideraciones</w:t>
      </w:r>
      <w:r w:rsidRPr="008F2044">
        <w:rPr>
          <w:rFonts w:ascii="Verdana" w:hAnsi="Verdana"/>
          <w:b/>
          <w:bCs/>
          <w:sz w:val="20"/>
          <w:szCs w:val="20"/>
        </w:rPr>
        <w:t xml:space="preserve"> finales</w:t>
      </w:r>
    </w:p>
    <w:p w14:paraId="4F0A8F4E" w14:textId="6AD6BEEC" w:rsidR="008E10A9" w:rsidRPr="008F2044" w:rsidRDefault="0037190B" w:rsidP="00E71559">
      <w:pPr>
        <w:spacing w:after="0" w:line="240" w:lineRule="auto"/>
        <w:jc w:val="both"/>
        <w:rPr>
          <w:rFonts w:ascii="Verdana" w:eastAsia="Times New Roman" w:hAnsi="Verdana" w:cs="Times New Roman"/>
          <w:sz w:val="20"/>
          <w:szCs w:val="20"/>
          <w:lang w:eastAsia="es-EC"/>
        </w:rPr>
      </w:pPr>
      <w:r w:rsidRPr="008F2044">
        <w:rPr>
          <w:rFonts w:ascii="Verdana" w:hAnsi="Verdana"/>
          <w:sz w:val="20"/>
          <w:szCs w:val="20"/>
        </w:rPr>
        <w:t>La Corte</w:t>
      </w:r>
      <w:r w:rsidR="00FD0598" w:rsidRPr="008F2044">
        <w:rPr>
          <w:rFonts w:ascii="Verdana" w:hAnsi="Verdana"/>
          <w:sz w:val="20"/>
          <w:szCs w:val="20"/>
        </w:rPr>
        <w:t>, en el caso en com</w:t>
      </w:r>
      <w:r w:rsidR="00DE7C41" w:rsidRPr="008F2044">
        <w:rPr>
          <w:rFonts w:ascii="Verdana" w:hAnsi="Verdana"/>
          <w:sz w:val="20"/>
          <w:szCs w:val="20"/>
        </w:rPr>
        <w:t>ento,</w:t>
      </w:r>
      <w:r w:rsidRPr="008F2044">
        <w:rPr>
          <w:rFonts w:ascii="Verdana" w:hAnsi="Verdana"/>
          <w:sz w:val="20"/>
          <w:szCs w:val="20"/>
        </w:rPr>
        <w:t xml:space="preserve"> </w:t>
      </w:r>
      <w:r w:rsidR="00DE7C41" w:rsidRPr="008F2044">
        <w:rPr>
          <w:rFonts w:ascii="Verdana" w:hAnsi="Verdana"/>
          <w:sz w:val="20"/>
          <w:szCs w:val="20"/>
        </w:rPr>
        <w:t xml:space="preserve">optó por </w:t>
      </w:r>
      <w:r w:rsidR="00B9237C" w:rsidRPr="008F2044">
        <w:rPr>
          <w:rFonts w:ascii="Verdana" w:hAnsi="Verdana"/>
          <w:sz w:val="20"/>
          <w:szCs w:val="20"/>
        </w:rPr>
        <w:t>dejar de lado esta oportunidad</w:t>
      </w:r>
      <w:r w:rsidR="00D110DD" w:rsidRPr="008F2044">
        <w:rPr>
          <w:rFonts w:ascii="Verdana" w:hAnsi="Verdana"/>
          <w:sz w:val="20"/>
          <w:szCs w:val="20"/>
        </w:rPr>
        <w:t xml:space="preserve"> para reflexionar lo</w:t>
      </w:r>
      <w:r w:rsidR="00B9237C" w:rsidRPr="008F2044">
        <w:rPr>
          <w:rFonts w:ascii="Verdana" w:hAnsi="Verdana"/>
          <w:sz w:val="20"/>
          <w:szCs w:val="20"/>
        </w:rPr>
        <w:t xml:space="preserve"> que en las actuales circunstancias</w:t>
      </w:r>
      <w:r w:rsidR="00D110DD" w:rsidRPr="008F2044">
        <w:rPr>
          <w:rFonts w:ascii="Verdana" w:hAnsi="Verdana"/>
          <w:sz w:val="20"/>
          <w:szCs w:val="20"/>
        </w:rPr>
        <w:t xml:space="preserve">, en </w:t>
      </w:r>
      <w:r w:rsidR="00B9237C" w:rsidRPr="008F2044">
        <w:rPr>
          <w:rFonts w:ascii="Verdana" w:hAnsi="Verdana"/>
          <w:sz w:val="20"/>
          <w:szCs w:val="20"/>
        </w:rPr>
        <w:t>la región</w:t>
      </w:r>
      <w:r w:rsidR="00DE7C41" w:rsidRPr="008F2044">
        <w:rPr>
          <w:rFonts w:ascii="Verdana" w:hAnsi="Verdana"/>
          <w:sz w:val="20"/>
          <w:szCs w:val="20"/>
        </w:rPr>
        <w:t xml:space="preserve"> y el mundo,</w:t>
      </w:r>
      <w:r w:rsidR="00D110DD" w:rsidRPr="008F2044">
        <w:rPr>
          <w:rFonts w:ascii="Verdana" w:hAnsi="Verdana"/>
          <w:sz w:val="20"/>
          <w:szCs w:val="20"/>
        </w:rPr>
        <w:t xml:space="preserve"> </w:t>
      </w:r>
      <w:r w:rsidR="00DE7C41" w:rsidRPr="008F2044">
        <w:rPr>
          <w:rFonts w:ascii="Verdana" w:hAnsi="Verdana"/>
          <w:sz w:val="20"/>
          <w:szCs w:val="20"/>
        </w:rPr>
        <w:t>ha provocado múltiples</w:t>
      </w:r>
      <w:r w:rsidR="00D110DD" w:rsidRPr="008F2044">
        <w:rPr>
          <w:rFonts w:ascii="Verdana" w:hAnsi="Verdana"/>
          <w:sz w:val="20"/>
          <w:szCs w:val="20"/>
        </w:rPr>
        <w:t xml:space="preserve"> publicaciones</w:t>
      </w:r>
      <w:r w:rsidR="008E10A9" w:rsidRPr="008F2044">
        <w:rPr>
          <w:rFonts w:ascii="Verdana" w:hAnsi="Verdana"/>
          <w:sz w:val="20"/>
          <w:szCs w:val="20"/>
        </w:rPr>
        <w:t xml:space="preserve"> y es objeto de escrutinio académico,</w:t>
      </w:r>
      <w:r w:rsidR="00BC2ECA">
        <w:rPr>
          <w:rFonts w:ascii="Verdana" w:hAnsi="Verdana"/>
          <w:sz w:val="20"/>
          <w:szCs w:val="20"/>
        </w:rPr>
        <w:t xml:space="preserve"> inclusive judicial,</w:t>
      </w:r>
      <w:r w:rsidR="008E10A9" w:rsidRPr="008F2044">
        <w:rPr>
          <w:rFonts w:ascii="Verdana" w:hAnsi="Verdana"/>
          <w:sz w:val="20"/>
          <w:szCs w:val="20"/>
        </w:rPr>
        <w:t xml:space="preserve"> como lo destaca Telma Luzanni</w:t>
      </w:r>
      <w:r w:rsidR="00FD0598" w:rsidRPr="008F2044">
        <w:rPr>
          <w:rFonts w:ascii="Verdana" w:hAnsi="Verdana"/>
          <w:sz w:val="20"/>
          <w:szCs w:val="20"/>
        </w:rPr>
        <w:t xml:space="preserve"> al referir lo expuesto por </w:t>
      </w:r>
      <w:r w:rsidR="008E10A9" w:rsidRPr="008F2044">
        <w:rPr>
          <w:rFonts w:ascii="Verdana" w:eastAsia="Times New Roman" w:hAnsi="Verdana" w:cs="Times New Roman"/>
          <w:sz w:val="20"/>
          <w:szCs w:val="20"/>
          <w:lang w:eastAsia="es-EC"/>
        </w:rPr>
        <w:t xml:space="preserve">el politólogo Ernesto Calvo, de la Universidad de Maryland, en el artículo “Gaslighting y las FF.AA.”, </w:t>
      </w:r>
      <w:r w:rsidR="00BC2ECA">
        <w:rPr>
          <w:rFonts w:ascii="Verdana" w:eastAsia="Times New Roman" w:hAnsi="Verdana" w:cs="Times New Roman"/>
          <w:sz w:val="20"/>
          <w:szCs w:val="20"/>
          <w:lang w:eastAsia="es-EC"/>
        </w:rPr>
        <w:t xml:space="preserve">quien </w:t>
      </w:r>
      <w:r w:rsidR="008E10A9" w:rsidRPr="008F2044">
        <w:rPr>
          <w:rFonts w:ascii="Verdana" w:eastAsia="Times New Roman" w:hAnsi="Verdana" w:cs="Times New Roman"/>
          <w:sz w:val="20"/>
          <w:szCs w:val="20"/>
          <w:lang w:eastAsia="es-EC"/>
        </w:rPr>
        <w:t>al analizar las “transgresiones” a las reglas de la democracia</w:t>
      </w:r>
      <w:r w:rsidR="008E10A9" w:rsidRPr="008F2044">
        <w:rPr>
          <w:rFonts w:ascii="Verdana" w:hAnsi="Verdana"/>
          <w:sz w:val="20"/>
          <w:szCs w:val="20"/>
        </w:rPr>
        <w:t>, hace un llamado de atención respecto</w:t>
      </w:r>
      <w:r w:rsidR="008E10A9" w:rsidRPr="008F2044">
        <w:rPr>
          <w:rFonts w:ascii="Verdana" w:eastAsia="Times New Roman" w:hAnsi="Verdana" w:cs="Times New Roman"/>
          <w:sz w:val="20"/>
          <w:szCs w:val="20"/>
          <w:lang w:eastAsia="es-EC"/>
        </w:rPr>
        <w:t xml:space="preserve"> de los nuevos ensayos de laboratorio que se están realizando en Sudamérica y de los que tenemos que estar muy alertas, puesto</w:t>
      </w:r>
      <w:r w:rsidR="00CC47CC">
        <w:rPr>
          <w:rFonts w:ascii="Verdana" w:eastAsia="Times New Roman" w:hAnsi="Verdana" w:cs="Times New Roman"/>
          <w:sz w:val="20"/>
          <w:szCs w:val="20"/>
          <w:lang w:eastAsia="es-EC"/>
        </w:rPr>
        <w:t xml:space="preserve"> que</w:t>
      </w:r>
      <w:r w:rsidR="008E10A9" w:rsidRPr="008F2044">
        <w:rPr>
          <w:rFonts w:ascii="Verdana" w:eastAsia="Times New Roman" w:hAnsi="Verdana" w:cs="Times New Roman"/>
          <w:sz w:val="20"/>
          <w:szCs w:val="20"/>
          <w:lang w:eastAsia="es-EC"/>
        </w:rPr>
        <w:t xml:space="preserve"> se trata del atropello al sistema institucional y el</w:t>
      </w:r>
      <w:r w:rsidR="00BA0F89" w:rsidRPr="008F2044">
        <w:rPr>
          <w:rFonts w:ascii="Verdana" w:eastAsia="Times New Roman" w:hAnsi="Verdana" w:cs="Times New Roman"/>
          <w:sz w:val="20"/>
          <w:szCs w:val="20"/>
          <w:lang w:eastAsia="es-EC"/>
        </w:rPr>
        <w:t xml:space="preserve"> ninguneo al Estado de derecho</w:t>
      </w:r>
      <w:r w:rsidR="00A7198B">
        <w:rPr>
          <w:rFonts w:ascii="Verdana" w:eastAsia="Times New Roman" w:hAnsi="Verdana" w:cs="Times New Roman"/>
          <w:sz w:val="20"/>
          <w:szCs w:val="20"/>
          <w:lang w:eastAsia="es-EC"/>
        </w:rPr>
        <w:t>…</w:t>
      </w:r>
      <w:r w:rsidR="008E10A9" w:rsidRPr="008F2044">
        <w:rPr>
          <w:rFonts w:ascii="Verdana" w:hAnsi="Verdana"/>
          <w:sz w:val="20"/>
          <w:szCs w:val="20"/>
        </w:rPr>
        <w:t xml:space="preserve"> </w:t>
      </w:r>
      <w:r w:rsidR="008E10A9" w:rsidRPr="008F2044">
        <w:rPr>
          <w:rFonts w:ascii="Verdana" w:eastAsia="Times New Roman" w:hAnsi="Verdana" w:cs="Times New Roman"/>
          <w:sz w:val="20"/>
          <w:szCs w:val="20"/>
          <w:lang w:eastAsia="es-EC"/>
        </w:rPr>
        <w:t>No hay límites que no puedan ser obviados si el pode</w:t>
      </w:r>
      <w:r w:rsidR="00A7198B">
        <w:rPr>
          <w:rFonts w:ascii="Verdana" w:eastAsia="Times New Roman" w:hAnsi="Verdana" w:cs="Times New Roman"/>
          <w:sz w:val="20"/>
          <w:szCs w:val="20"/>
          <w:lang w:eastAsia="es-EC"/>
        </w:rPr>
        <w:t>r quiere obtener un resultado…</w:t>
      </w:r>
      <w:r w:rsidR="008E10A9" w:rsidRPr="008F2044">
        <w:rPr>
          <w:rFonts w:ascii="Verdana" w:eastAsia="Times New Roman" w:hAnsi="Verdana" w:cs="Times New Roman"/>
          <w:sz w:val="20"/>
          <w:szCs w:val="20"/>
          <w:lang w:eastAsia="es-EC"/>
        </w:rPr>
        <w:t xml:space="preserve"> Así se pueden deconstruir</w:t>
      </w:r>
      <w:r w:rsidR="00BA0F89" w:rsidRPr="008F2044">
        <w:rPr>
          <w:rFonts w:ascii="Verdana" w:eastAsia="Times New Roman" w:hAnsi="Verdana" w:cs="Times New Roman"/>
          <w:sz w:val="20"/>
          <w:szCs w:val="20"/>
          <w:lang w:eastAsia="es-EC"/>
        </w:rPr>
        <w:t xml:space="preserve"> </w:t>
      </w:r>
      <w:r w:rsidR="008E10A9" w:rsidRPr="008F2044">
        <w:rPr>
          <w:rFonts w:ascii="Verdana" w:eastAsia="Times New Roman" w:hAnsi="Verdana" w:cs="Times New Roman"/>
          <w:sz w:val="20"/>
          <w:szCs w:val="20"/>
          <w:lang w:eastAsia="es-EC"/>
        </w:rPr>
        <w:t>los principios de tolerancia política y dañar los pilares de la democracia, como la libertad de expresión, la independencia de los distintos poderes, la santidad del voto y el estatus constituci</w:t>
      </w:r>
      <w:r w:rsidR="00BA0F89" w:rsidRPr="008F2044">
        <w:rPr>
          <w:rFonts w:ascii="Verdana" w:eastAsia="Times New Roman" w:hAnsi="Verdana" w:cs="Times New Roman"/>
          <w:sz w:val="20"/>
          <w:szCs w:val="20"/>
          <w:lang w:eastAsia="es-EC"/>
        </w:rPr>
        <w:t xml:space="preserve">onal del derecho de ciudadanía. </w:t>
      </w:r>
      <w:r w:rsidR="008E10A9" w:rsidRPr="008F2044">
        <w:rPr>
          <w:rFonts w:ascii="Verdana" w:hAnsi="Verdana"/>
          <w:sz w:val="20"/>
          <w:szCs w:val="20"/>
        </w:rPr>
        <w:t xml:space="preserve">Así como las premonitorias reflexiones </w:t>
      </w:r>
      <w:r w:rsidR="008F7AC0">
        <w:rPr>
          <w:rFonts w:ascii="Verdana" w:hAnsi="Verdana"/>
          <w:sz w:val="20"/>
          <w:szCs w:val="20"/>
        </w:rPr>
        <w:t>a</w:t>
      </w:r>
      <w:r w:rsidR="008E10A9" w:rsidRPr="008F2044">
        <w:rPr>
          <w:rFonts w:ascii="Verdana" w:hAnsi="Verdana"/>
          <w:sz w:val="20"/>
          <w:szCs w:val="20"/>
        </w:rPr>
        <w:t>l</w:t>
      </w:r>
      <w:r w:rsidR="00BA0F89" w:rsidRPr="008F2044">
        <w:rPr>
          <w:rFonts w:ascii="Verdana" w:eastAsia="Times New Roman" w:hAnsi="Verdana" w:cs="Times New Roman"/>
          <w:sz w:val="20"/>
          <w:szCs w:val="20"/>
          <w:lang w:eastAsia="es-EC"/>
        </w:rPr>
        <w:t xml:space="preserve"> respecto de que el “[s]</w:t>
      </w:r>
      <w:r w:rsidR="008E10A9" w:rsidRPr="008F2044">
        <w:rPr>
          <w:rFonts w:ascii="Verdana" w:eastAsia="Times New Roman" w:hAnsi="Verdana" w:cs="Times New Roman"/>
          <w:sz w:val="20"/>
          <w:szCs w:val="20"/>
          <w:lang w:eastAsia="es-EC"/>
        </w:rPr>
        <w:t xml:space="preserve">e trata de un nuevo campo de ensayo en Sudamérica que podría ser utilizado </w:t>
      </w:r>
      <w:r w:rsidR="00C72FFA" w:rsidRPr="008F2044">
        <w:rPr>
          <w:rFonts w:ascii="Verdana" w:eastAsia="Times New Roman" w:hAnsi="Verdana" w:cs="Times New Roman"/>
          <w:sz w:val="20"/>
          <w:szCs w:val="20"/>
          <w:lang w:eastAsia="es-EC"/>
        </w:rPr>
        <w:t>luego en otras partes del mundo</w:t>
      </w:r>
      <w:r w:rsidR="00BA0F89" w:rsidRPr="008F2044">
        <w:rPr>
          <w:rFonts w:ascii="Verdana" w:eastAsia="Times New Roman" w:hAnsi="Verdana" w:cs="Times New Roman"/>
          <w:sz w:val="20"/>
          <w:szCs w:val="20"/>
          <w:lang w:eastAsia="es-EC"/>
        </w:rPr>
        <w:t>”</w:t>
      </w:r>
      <w:r w:rsidR="00E71559" w:rsidRPr="00E71559">
        <w:rPr>
          <w:rStyle w:val="Refdenotaalpie"/>
          <w:rFonts w:ascii="Verdana" w:hAnsi="Verdana"/>
          <w:sz w:val="20"/>
          <w:szCs w:val="20"/>
        </w:rPr>
        <w:t xml:space="preserve"> </w:t>
      </w:r>
      <w:r w:rsidR="00E71559" w:rsidRPr="008F2044">
        <w:rPr>
          <w:rStyle w:val="Refdenotaalpie"/>
          <w:rFonts w:ascii="Verdana" w:hAnsi="Verdana"/>
          <w:sz w:val="20"/>
          <w:szCs w:val="20"/>
        </w:rPr>
        <w:footnoteReference w:id="17"/>
      </w:r>
      <w:r w:rsidR="00C72FFA" w:rsidRPr="008F2044">
        <w:rPr>
          <w:rFonts w:ascii="Verdana" w:eastAsia="Times New Roman" w:hAnsi="Verdana" w:cs="Times New Roman"/>
          <w:sz w:val="20"/>
          <w:szCs w:val="20"/>
          <w:lang w:eastAsia="es-EC"/>
        </w:rPr>
        <w:t>.</w:t>
      </w:r>
    </w:p>
    <w:p w14:paraId="39966EC1" w14:textId="24457BE3" w:rsidR="002F5015" w:rsidRPr="00BB03CE" w:rsidRDefault="002F5015" w:rsidP="00BB03CE">
      <w:pPr>
        <w:pStyle w:val="PrrafodeSentencia"/>
        <w:rPr>
          <w:b w:val="0"/>
        </w:rPr>
      </w:pPr>
    </w:p>
    <w:p w14:paraId="4F08152B" w14:textId="22B66C0C" w:rsidR="00F20B56" w:rsidRPr="00BB03CE" w:rsidRDefault="00C301F3" w:rsidP="00BB03CE">
      <w:pPr>
        <w:pStyle w:val="PrrafodeSentencia"/>
        <w:rPr>
          <w:b w:val="0"/>
        </w:rPr>
      </w:pPr>
      <w:r w:rsidRPr="00BB03CE">
        <w:rPr>
          <w:b w:val="0"/>
        </w:rPr>
        <w:t xml:space="preserve">En estos tiempos </w:t>
      </w:r>
      <w:r w:rsidR="0056101A">
        <w:rPr>
          <w:b w:val="0"/>
        </w:rPr>
        <w:t>que parecería se está</w:t>
      </w:r>
      <w:r w:rsidR="00F20B56" w:rsidRPr="00BB03CE">
        <w:rPr>
          <w:b w:val="0"/>
        </w:rPr>
        <w:t xml:space="preserve"> alentand</w:t>
      </w:r>
      <w:r w:rsidR="00E71559">
        <w:rPr>
          <w:b w:val="0"/>
        </w:rPr>
        <w:t>o, por acción u omisión, la tra</w:t>
      </w:r>
      <w:r w:rsidR="00F20B56" w:rsidRPr="00BB03CE">
        <w:rPr>
          <w:b w:val="0"/>
        </w:rPr>
        <w:t>n</w:t>
      </w:r>
      <w:r w:rsidR="00E71559">
        <w:rPr>
          <w:b w:val="0"/>
        </w:rPr>
        <w:t>s</w:t>
      </w:r>
      <w:r w:rsidR="00F20B56" w:rsidRPr="00BB03CE">
        <w:rPr>
          <w:b w:val="0"/>
        </w:rPr>
        <w:t>gresion del orden jerarquico superior que protege los derechos humanos universales, interdependientes e indivis</w:t>
      </w:r>
      <w:r w:rsidR="00BA0F89" w:rsidRPr="00BB03CE">
        <w:rPr>
          <w:b w:val="0"/>
        </w:rPr>
        <w:t>i</w:t>
      </w:r>
      <w:r w:rsidR="00F20B56" w:rsidRPr="00BB03CE">
        <w:rPr>
          <w:b w:val="0"/>
        </w:rPr>
        <w:t>bles, así como los principios fundacionales de la Carta de la O</w:t>
      </w:r>
      <w:r w:rsidR="00BA0F89" w:rsidRPr="00BB03CE">
        <w:rPr>
          <w:b w:val="0"/>
        </w:rPr>
        <w:t>EA</w:t>
      </w:r>
      <w:r w:rsidR="00F20B56" w:rsidRPr="00BB03CE">
        <w:rPr>
          <w:b w:val="0"/>
        </w:rPr>
        <w:t xml:space="preserve">, de la Carta Democratica y la Convención Americana </w:t>
      </w:r>
      <w:r w:rsidR="004D697E">
        <w:rPr>
          <w:b w:val="0"/>
        </w:rPr>
        <w:t>sobre</w:t>
      </w:r>
      <w:r w:rsidR="00F20B56" w:rsidRPr="00BB03CE">
        <w:rPr>
          <w:b w:val="0"/>
        </w:rPr>
        <w:t xml:space="preserve"> Derechos Humanos</w:t>
      </w:r>
      <w:r w:rsidRPr="00BB03CE">
        <w:rPr>
          <w:b w:val="0"/>
        </w:rPr>
        <w:t>, la Corte</w:t>
      </w:r>
      <w:r w:rsidR="008F7AC0">
        <w:rPr>
          <w:b w:val="0"/>
        </w:rPr>
        <w:t xml:space="preserve">, estoy convencido, no aprovechó la oportunidad histórica y </w:t>
      </w:r>
      <w:r w:rsidR="00492EE3" w:rsidRPr="00BB03CE">
        <w:rPr>
          <w:b w:val="0"/>
        </w:rPr>
        <w:t>decisiv</w:t>
      </w:r>
      <w:r w:rsidR="008F7AC0">
        <w:rPr>
          <w:b w:val="0"/>
        </w:rPr>
        <w:t>a</w:t>
      </w:r>
      <w:r w:rsidR="00492EE3" w:rsidRPr="00BB03CE">
        <w:rPr>
          <w:b w:val="0"/>
        </w:rPr>
        <w:t xml:space="preserve"> para contener de manera enérgica toda práctica</w:t>
      </w:r>
      <w:r w:rsidR="00BA0F89" w:rsidRPr="00BB03CE">
        <w:rPr>
          <w:b w:val="0"/>
        </w:rPr>
        <w:t>, abierta o velada, que implica</w:t>
      </w:r>
      <w:r w:rsidR="00492EE3" w:rsidRPr="00BB03CE">
        <w:rPr>
          <w:b w:val="0"/>
        </w:rPr>
        <w:t xml:space="preserve"> </w:t>
      </w:r>
      <w:r w:rsidRPr="00BB03CE">
        <w:rPr>
          <w:b w:val="0"/>
        </w:rPr>
        <w:t xml:space="preserve">la discriminación </w:t>
      </w:r>
      <w:r w:rsidR="00492EE3" w:rsidRPr="00BB03CE">
        <w:rPr>
          <w:b w:val="0"/>
        </w:rPr>
        <w:t xml:space="preserve">en razón de ideas, confesiones o credos </w:t>
      </w:r>
      <w:r w:rsidRPr="00BB03CE">
        <w:rPr>
          <w:b w:val="0"/>
        </w:rPr>
        <w:t xml:space="preserve">en contra de políticos </w:t>
      </w:r>
      <w:r w:rsidR="00F20B56" w:rsidRPr="00BB03CE">
        <w:rPr>
          <w:b w:val="0"/>
        </w:rPr>
        <w:t>que ejercen en paz, democracia y derecho</w:t>
      </w:r>
      <w:r w:rsidR="00492EE3" w:rsidRPr="00BB03CE">
        <w:rPr>
          <w:b w:val="0"/>
        </w:rPr>
        <w:t>,</w:t>
      </w:r>
      <w:r w:rsidR="00F20B56" w:rsidRPr="00BB03CE">
        <w:rPr>
          <w:b w:val="0"/>
        </w:rPr>
        <w:t xml:space="preserve"> su opción legítima de estatus opositor</w:t>
      </w:r>
      <w:r w:rsidR="008F7AC0">
        <w:rPr>
          <w:b w:val="0"/>
        </w:rPr>
        <w:t>,</w:t>
      </w:r>
      <w:r w:rsidRPr="00BB03CE">
        <w:rPr>
          <w:b w:val="0"/>
        </w:rPr>
        <w:t xml:space="preserve"> como </w:t>
      </w:r>
      <w:r w:rsidR="008F7AC0">
        <w:rPr>
          <w:b w:val="0"/>
        </w:rPr>
        <w:t xml:space="preserve">se ha revelado en </w:t>
      </w:r>
      <w:r w:rsidRPr="00BB03CE">
        <w:rPr>
          <w:b w:val="0"/>
        </w:rPr>
        <w:t xml:space="preserve">el </w:t>
      </w:r>
      <w:r w:rsidR="00F20B56" w:rsidRPr="00BB03CE">
        <w:rPr>
          <w:b w:val="0"/>
        </w:rPr>
        <w:t xml:space="preserve">caso del </w:t>
      </w:r>
      <w:r w:rsidR="008F7AC0">
        <w:rPr>
          <w:b w:val="0"/>
        </w:rPr>
        <w:t>señor</w:t>
      </w:r>
      <w:r w:rsidRPr="00BB03CE">
        <w:rPr>
          <w:b w:val="0"/>
        </w:rPr>
        <w:t xml:space="preserve"> </w:t>
      </w:r>
      <w:r w:rsidR="00F20B56" w:rsidRPr="00BB03CE">
        <w:rPr>
          <w:b w:val="0"/>
        </w:rPr>
        <w:t xml:space="preserve">Gustavo </w:t>
      </w:r>
      <w:r w:rsidRPr="00BB03CE">
        <w:rPr>
          <w:b w:val="0"/>
        </w:rPr>
        <w:t>Petro</w:t>
      </w:r>
      <w:r w:rsidR="008F7AC0">
        <w:rPr>
          <w:b w:val="0"/>
        </w:rPr>
        <w:t xml:space="preserve"> vs Colombia</w:t>
      </w:r>
      <w:r w:rsidRPr="00BB03CE">
        <w:rPr>
          <w:b w:val="0"/>
        </w:rPr>
        <w:t>.</w:t>
      </w:r>
      <w:r w:rsidR="00E83471" w:rsidRPr="00BB03CE">
        <w:rPr>
          <w:b w:val="0"/>
        </w:rPr>
        <w:t xml:space="preserve"> </w:t>
      </w:r>
    </w:p>
    <w:p w14:paraId="0118DA24" w14:textId="2886FC07" w:rsidR="00F20B56" w:rsidRPr="00BB03CE" w:rsidRDefault="00F20B56" w:rsidP="00BB03CE">
      <w:pPr>
        <w:pStyle w:val="PrrafodeSentencia"/>
        <w:rPr>
          <w:b w:val="0"/>
        </w:rPr>
      </w:pPr>
    </w:p>
    <w:p w14:paraId="70804D39" w14:textId="5D86278B" w:rsidR="00CE1B26" w:rsidRPr="00BB03CE" w:rsidRDefault="00E83471" w:rsidP="00BB03CE">
      <w:pPr>
        <w:pStyle w:val="PrrafodeSentencia"/>
        <w:rPr>
          <w:rFonts w:cs="Arial"/>
          <w:b w:val="0"/>
        </w:rPr>
      </w:pPr>
      <w:r w:rsidRPr="00BB03CE">
        <w:rPr>
          <w:b w:val="0"/>
        </w:rPr>
        <w:t>En consecuencia, estimo que existían elementos suficientes</w:t>
      </w:r>
      <w:r w:rsidR="00C301F3" w:rsidRPr="00BB03CE">
        <w:rPr>
          <w:b w:val="0"/>
        </w:rPr>
        <w:t xml:space="preserve"> y razones de peso</w:t>
      </w:r>
      <w:r w:rsidRPr="00BB03CE">
        <w:rPr>
          <w:b w:val="0"/>
        </w:rPr>
        <w:t xml:space="preserve"> para declarar la responsabilidad del Estado por la violación del artículo 5 de la Convención, en relación con la prohibición de discriminació</w:t>
      </w:r>
      <w:r w:rsidR="00E71559">
        <w:rPr>
          <w:b w:val="0"/>
        </w:rPr>
        <w:t>n consagrada en su artículo 1.1</w:t>
      </w:r>
      <w:r w:rsidR="004C52DB" w:rsidRPr="00BB03CE">
        <w:rPr>
          <w:b w:val="0"/>
        </w:rPr>
        <w:t xml:space="preserve">, </w:t>
      </w:r>
      <w:r w:rsidR="00F22857" w:rsidRPr="00F22857">
        <w:rPr>
          <w:b w:val="0"/>
        </w:rPr>
        <w:t>razón por</w:t>
      </w:r>
      <w:r w:rsidR="00CC47CC">
        <w:rPr>
          <w:b w:val="0"/>
        </w:rPr>
        <w:t xml:space="preserve"> </w:t>
      </w:r>
      <w:r w:rsidR="00F22857" w:rsidRPr="00F22857">
        <w:rPr>
          <w:b w:val="0"/>
        </w:rPr>
        <w:t>la cual expreso mi voto parcialmente disidente</w:t>
      </w:r>
      <w:r w:rsidR="00C301F3" w:rsidRPr="00BB03CE">
        <w:rPr>
          <w:b w:val="0"/>
        </w:rPr>
        <w:t>.</w:t>
      </w:r>
    </w:p>
    <w:p w14:paraId="051F87CF" w14:textId="02BADF33" w:rsidR="00297993" w:rsidRPr="00D927A1" w:rsidRDefault="00297993" w:rsidP="00BB03CE">
      <w:pPr>
        <w:pStyle w:val="PrrafodeSentencia"/>
        <w:rPr>
          <w:b w:val="0"/>
          <w:bCs w:val="0"/>
        </w:rPr>
      </w:pPr>
    </w:p>
    <w:p w14:paraId="25A9CCAB" w14:textId="28DEE8D0" w:rsidR="00297993" w:rsidRPr="00D927A1" w:rsidRDefault="00297993" w:rsidP="00BB03CE">
      <w:pPr>
        <w:pStyle w:val="PrrafodeSentencia"/>
        <w:rPr>
          <w:b w:val="0"/>
          <w:bCs w:val="0"/>
          <w:highlight w:val="yellow"/>
        </w:rPr>
      </w:pPr>
    </w:p>
    <w:p w14:paraId="7E1D85FF" w14:textId="3391C7A4" w:rsidR="0037190B" w:rsidRPr="00D927A1" w:rsidRDefault="0037190B" w:rsidP="00BB03CE">
      <w:pPr>
        <w:pStyle w:val="PrrafodeSentencia"/>
        <w:rPr>
          <w:b w:val="0"/>
          <w:bCs w:val="0"/>
          <w:highlight w:val="yellow"/>
        </w:rPr>
      </w:pPr>
    </w:p>
    <w:p w14:paraId="4DAA8B96" w14:textId="55B00A40" w:rsidR="0037190B" w:rsidRPr="00D927A1" w:rsidRDefault="0037190B" w:rsidP="00BB03CE">
      <w:pPr>
        <w:pStyle w:val="PrrafodeSentencia"/>
        <w:rPr>
          <w:b w:val="0"/>
          <w:bCs w:val="0"/>
          <w:highlight w:val="yellow"/>
        </w:rPr>
      </w:pPr>
    </w:p>
    <w:p w14:paraId="22B9CE63" w14:textId="3BD1878B" w:rsidR="0037190B" w:rsidRPr="00D927A1" w:rsidRDefault="0037190B" w:rsidP="00BB03CE">
      <w:pPr>
        <w:pStyle w:val="PrrafodeSentencia"/>
        <w:rPr>
          <w:b w:val="0"/>
          <w:bCs w:val="0"/>
          <w:highlight w:val="yellow"/>
        </w:rPr>
      </w:pPr>
    </w:p>
    <w:p w14:paraId="4D2F7E16" w14:textId="5B471869" w:rsidR="00E83471" w:rsidRPr="008F2044" w:rsidRDefault="00E83471" w:rsidP="00E83471">
      <w:pPr>
        <w:spacing w:after="0" w:line="240" w:lineRule="auto"/>
        <w:ind w:left="4248"/>
        <w:jc w:val="center"/>
        <w:rPr>
          <w:rFonts w:ascii="Verdana" w:hAnsi="Verdana"/>
          <w:sz w:val="20"/>
          <w:szCs w:val="20"/>
        </w:rPr>
      </w:pPr>
      <w:r w:rsidRPr="008F2044">
        <w:rPr>
          <w:rFonts w:ascii="Verdana" w:hAnsi="Verdana"/>
          <w:sz w:val="20"/>
          <w:szCs w:val="20"/>
        </w:rPr>
        <w:t>Patricio Pazmiño Freire</w:t>
      </w:r>
    </w:p>
    <w:p w14:paraId="3204EED4" w14:textId="3D9C776E" w:rsidR="00E83471" w:rsidRPr="008F2044" w:rsidRDefault="004C52DB" w:rsidP="00E83471">
      <w:pPr>
        <w:spacing w:after="0" w:line="240" w:lineRule="auto"/>
        <w:ind w:left="4248"/>
        <w:jc w:val="center"/>
        <w:rPr>
          <w:rFonts w:ascii="Verdana" w:hAnsi="Verdana"/>
          <w:sz w:val="20"/>
          <w:szCs w:val="20"/>
        </w:rPr>
      </w:pPr>
      <w:r w:rsidRPr="008F2044">
        <w:rPr>
          <w:rFonts w:ascii="Verdana" w:hAnsi="Verdana"/>
          <w:sz w:val="20"/>
          <w:szCs w:val="20"/>
        </w:rPr>
        <w:t>Juez</w:t>
      </w:r>
    </w:p>
    <w:p w14:paraId="024B16E2" w14:textId="4C39DE7B" w:rsidR="00E83471" w:rsidRPr="008F2044" w:rsidRDefault="00E83471" w:rsidP="00E83471">
      <w:pPr>
        <w:tabs>
          <w:tab w:val="left" w:pos="1440"/>
        </w:tabs>
        <w:spacing w:after="0" w:line="240" w:lineRule="auto"/>
        <w:rPr>
          <w:rFonts w:ascii="Verdana" w:hAnsi="Verdana"/>
          <w:sz w:val="20"/>
          <w:szCs w:val="20"/>
        </w:rPr>
      </w:pPr>
    </w:p>
    <w:p w14:paraId="15B983BE" w14:textId="43F9C222" w:rsidR="00E83471" w:rsidRPr="008F2044" w:rsidRDefault="00E83471" w:rsidP="00E83471">
      <w:pPr>
        <w:tabs>
          <w:tab w:val="left" w:pos="1440"/>
        </w:tabs>
        <w:spacing w:after="0" w:line="240" w:lineRule="auto"/>
        <w:rPr>
          <w:rFonts w:ascii="Verdana" w:hAnsi="Verdana"/>
          <w:sz w:val="20"/>
          <w:szCs w:val="20"/>
        </w:rPr>
      </w:pPr>
    </w:p>
    <w:p w14:paraId="08FFC6E1" w14:textId="6BE09784" w:rsidR="00E83471" w:rsidRPr="008F2044" w:rsidRDefault="00E83471" w:rsidP="00E83471">
      <w:pPr>
        <w:tabs>
          <w:tab w:val="left" w:pos="1440"/>
        </w:tabs>
        <w:spacing w:after="0" w:line="240" w:lineRule="auto"/>
        <w:rPr>
          <w:rFonts w:ascii="Verdana" w:hAnsi="Verdana"/>
          <w:sz w:val="20"/>
          <w:szCs w:val="20"/>
        </w:rPr>
      </w:pPr>
    </w:p>
    <w:p w14:paraId="577D485B" w14:textId="6298328C" w:rsidR="00E83471" w:rsidRDefault="00E83471" w:rsidP="00E83471">
      <w:pPr>
        <w:tabs>
          <w:tab w:val="left" w:pos="1440"/>
        </w:tabs>
        <w:spacing w:after="0" w:line="240" w:lineRule="auto"/>
        <w:rPr>
          <w:rFonts w:ascii="Verdana" w:hAnsi="Verdana"/>
          <w:sz w:val="20"/>
          <w:szCs w:val="20"/>
        </w:rPr>
      </w:pPr>
    </w:p>
    <w:p w14:paraId="147CB114" w14:textId="77777777" w:rsidR="00D927A1" w:rsidRPr="008F2044" w:rsidRDefault="00D927A1" w:rsidP="00E83471">
      <w:pPr>
        <w:tabs>
          <w:tab w:val="left" w:pos="1440"/>
        </w:tabs>
        <w:spacing w:after="0" w:line="240" w:lineRule="auto"/>
        <w:rPr>
          <w:rFonts w:ascii="Verdana" w:hAnsi="Verdana"/>
          <w:sz w:val="20"/>
          <w:szCs w:val="20"/>
        </w:rPr>
      </w:pPr>
    </w:p>
    <w:p w14:paraId="7C4DA1BF" w14:textId="77777777" w:rsidR="00E83471" w:rsidRPr="008F2044" w:rsidRDefault="00E83471" w:rsidP="00E83471">
      <w:pPr>
        <w:tabs>
          <w:tab w:val="left" w:pos="1440"/>
        </w:tabs>
        <w:spacing w:after="0" w:line="240" w:lineRule="auto"/>
        <w:rPr>
          <w:rFonts w:ascii="Verdana" w:hAnsi="Verdana"/>
          <w:sz w:val="20"/>
          <w:szCs w:val="20"/>
        </w:rPr>
      </w:pPr>
      <w:r w:rsidRPr="008F2044">
        <w:rPr>
          <w:rFonts w:ascii="Verdana" w:hAnsi="Verdana"/>
          <w:sz w:val="20"/>
          <w:szCs w:val="20"/>
        </w:rPr>
        <w:t xml:space="preserve">        Pablo Saavedra Alessandri </w:t>
      </w:r>
    </w:p>
    <w:p w14:paraId="494322A8" w14:textId="77777777" w:rsidR="00E83471" w:rsidRPr="008F2044" w:rsidRDefault="00E83471" w:rsidP="00E83471">
      <w:pPr>
        <w:tabs>
          <w:tab w:val="left" w:pos="1440"/>
        </w:tabs>
        <w:spacing w:after="0" w:line="240" w:lineRule="auto"/>
        <w:rPr>
          <w:rFonts w:ascii="Verdana" w:hAnsi="Verdana"/>
          <w:b/>
          <w:sz w:val="20"/>
          <w:szCs w:val="20"/>
          <w:lang w:val="pt-BR"/>
        </w:rPr>
      </w:pPr>
      <w:r w:rsidRPr="008F2044">
        <w:rPr>
          <w:rFonts w:ascii="Verdana" w:hAnsi="Verdana"/>
          <w:sz w:val="20"/>
          <w:szCs w:val="20"/>
        </w:rPr>
        <w:t xml:space="preserve">                 </w:t>
      </w:r>
      <w:r w:rsidRPr="008F2044">
        <w:rPr>
          <w:rFonts w:ascii="Verdana" w:hAnsi="Verdana"/>
          <w:sz w:val="20"/>
          <w:szCs w:val="20"/>
          <w:lang w:val="pt-BR"/>
        </w:rPr>
        <w:t>Secretario</w:t>
      </w:r>
    </w:p>
    <w:sectPr w:rsidR="00E83471" w:rsidRPr="008F2044" w:rsidSect="00076C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BB42A" w14:textId="77777777" w:rsidR="00EB722B" w:rsidRDefault="00EB722B" w:rsidP="00114F66">
      <w:pPr>
        <w:spacing w:after="0" w:line="240" w:lineRule="auto"/>
      </w:pPr>
      <w:r>
        <w:separator/>
      </w:r>
    </w:p>
  </w:endnote>
  <w:endnote w:type="continuationSeparator" w:id="0">
    <w:p w14:paraId="2AF776DD" w14:textId="77777777" w:rsidR="00EB722B" w:rsidRDefault="00EB722B" w:rsidP="0011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33A6" w14:textId="77777777" w:rsidR="00076CF8" w:rsidRDefault="00076C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514238"/>
      <w:docPartObj>
        <w:docPartGallery w:val="Page Numbers (Bottom of Page)"/>
        <w:docPartUnique/>
      </w:docPartObj>
    </w:sdtPr>
    <w:sdtEndPr>
      <w:rPr>
        <w:rFonts w:ascii="Verdana" w:hAnsi="Verdana"/>
        <w:noProof/>
        <w:sz w:val="20"/>
        <w:szCs w:val="20"/>
      </w:rPr>
    </w:sdtEndPr>
    <w:sdtContent>
      <w:p w14:paraId="4FE90527" w14:textId="066ED11D" w:rsidR="00E83471" w:rsidRPr="00E83471" w:rsidRDefault="00E83471">
        <w:pPr>
          <w:pStyle w:val="Piedepgina"/>
          <w:jc w:val="center"/>
          <w:rPr>
            <w:rFonts w:ascii="Verdana" w:hAnsi="Verdana"/>
            <w:sz w:val="20"/>
            <w:szCs w:val="20"/>
          </w:rPr>
        </w:pPr>
        <w:r w:rsidRPr="00E83471">
          <w:rPr>
            <w:rFonts w:ascii="Verdana" w:hAnsi="Verdana"/>
            <w:sz w:val="20"/>
            <w:szCs w:val="20"/>
          </w:rPr>
          <w:fldChar w:fldCharType="begin"/>
        </w:r>
        <w:r w:rsidRPr="00E83471">
          <w:rPr>
            <w:rFonts w:ascii="Verdana" w:hAnsi="Verdana"/>
            <w:sz w:val="20"/>
            <w:szCs w:val="20"/>
          </w:rPr>
          <w:instrText xml:space="preserve"> PAGE   \* MERGEFORMAT </w:instrText>
        </w:r>
        <w:r w:rsidRPr="00E83471">
          <w:rPr>
            <w:rFonts w:ascii="Verdana" w:hAnsi="Verdana"/>
            <w:sz w:val="20"/>
            <w:szCs w:val="20"/>
          </w:rPr>
          <w:fldChar w:fldCharType="separate"/>
        </w:r>
        <w:r w:rsidR="003F58E7">
          <w:rPr>
            <w:rFonts w:ascii="Verdana" w:hAnsi="Verdana"/>
            <w:noProof/>
            <w:sz w:val="20"/>
            <w:szCs w:val="20"/>
          </w:rPr>
          <w:t>6</w:t>
        </w:r>
        <w:r w:rsidRPr="00E83471">
          <w:rPr>
            <w:rFonts w:ascii="Verdana" w:hAnsi="Verdana"/>
            <w:noProof/>
            <w:sz w:val="20"/>
            <w:szCs w:val="20"/>
          </w:rPr>
          <w:fldChar w:fldCharType="end"/>
        </w:r>
      </w:p>
    </w:sdtContent>
  </w:sdt>
  <w:p w14:paraId="3977790B" w14:textId="77777777" w:rsidR="00E83471" w:rsidRDefault="00E834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0A5E" w14:textId="77777777" w:rsidR="00076CF8" w:rsidRDefault="00076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1D05" w14:textId="77777777" w:rsidR="00EB722B" w:rsidRDefault="00EB722B" w:rsidP="00114F66">
      <w:pPr>
        <w:spacing w:after="0" w:line="240" w:lineRule="auto"/>
      </w:pPr>
      <w:r>
        <w:separator/>
      </w:r>
    </w:p>
  </w:footnote>
  <w:footnote w:type="continuationSeparator" w:id="0">
    <w:p w14:paraId="28C6FA54" w14:textId="77777777" w:rsidR="00EB722B" w:rsidRDefault="00EB722B" w:rsidP="00114F66">
      <w:pPr>
        <w:spacing w:after="0" w:line="240" w:lineRule="auto"/>
      </w:pPr>
      <w:r>
        <w:continuationSeparator/>
      </w:r>
    </w:p>
  </w:footnote>
  <w:footnote w:id="1">
    <w:p w14:paraId="42A9B885" w14:textId="1ABCC876" w:rsidR="00EA45B5" w:rsidRPr="0061703D" w:rsidRDefault="00EA45B5" w:rsidP="003F58E7">
      <w:pPr>
        <w:pStyle w:val="Textonotapie"/>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 xml:space="preserve"> </w:t>
      </w:r>
      <w:r w:rsidR="00480307" w:rsidRPr="0061703D">
        <w:rPr>
          <w:rFonts w:ascii="Verdana" w:hAnsi="Verdana"/>
          <w:sz w:val="16"/>
          <w:szCs w:val="16"/>
        </w:rPr>
        <w:tab/>
      </w:r>
      <w:r w:rsidRPr="0061703D">
        <w:rPr>
          <w:rFonts w:ascii="Verdana" w:hAnsi="Verdana"/>
          <w:i/>
          <w:sz w:val="16"/>
          <w:szCs w:val="16"/>
        </w:rPr>
        <w:t xml:space="preserve">Veáse, por ejemplo, </w:t>
      </w:r>
      <w:r w:rsidRPr="0061703D">
        <w:rPr>
          <w:rFonts w:ascii="Verdana" w:hAnsi="Verdana" w:cs="Arial"/>
          <w:i/>
          <w:sz w:val="16"/>
          <w:szCs w:val="16"/>
          <w:shd w:val="clear" w:color="auto" w:fill="FFFFFF"/>
        </w:rPr>
        <w:t>Caso Véliz Franco y otros Vs. Guatemala. Excepciones Preliminares, Fondo, Reparaciones y Costas.</w:t>
      </w:r>
      <w:r w:rsidRPr="0061703D">
        <w:rPr>
          <w:rFonts w:ascii="Verdana" w:hAnsi="Verdana" w:cs="Arial"/>
          <w:sz w:val="16"/>
          <w:szCs w:val="16"/>
          <w:shd w:val="clear" w:color="auto" w:fill="FFFFFF"/>
        </w:rPr>
        <w:t xml:space="preserve"> Sentencia de 19 d</w:t>
      </w:r>
      <w:r w:rsidR="00BB7A53">
        <w:rPr>
          <w:rFonts w:ascii="Verdana" w:hAnsi="Verdana" w:cs="Arial"/>
          <w:sz w:val="16"/>
          <w:szCs w:val="16"/>
          <w:shd w:val="clear" w:color="auto" w:fill="FFFFFF"/>
        </w:rPr>
        <w:t>e mayo de 2014.</w:t>
      </w:r>
      <w:r w:rsidR="00456346" w:rsidRPr="0061703D">
        <w:rPr>
          <w:rFonts w:ascii="Verdana" w:hAnsi="Verdana" w:cs="Arial"/>
          <w:sz w:val="16"/>
          <w:szCs w:val="16"/>
          <w:shd w:val="clear" w:color="auto" w:fill="FFFFFF"/>
        </w:rPr>
        <w:t xml:space="preserve"> Serie C No. 277</w:t>
      </w:r>
      <w:r w:rsidRPr="0061703D">
        <w:rPr>
          <w:rFonts w:ascii="Verdana" w:hAnsi="Verdana" w:cs="Arial"/>
          <w:sz w:val="16"/>
          <w:szCs w:val="16"/>
          <w:shd w:val="clear" w:color="auto" w:fill="FFFFFF"/>
        </w:rPr>
        <w:t xml:space="preserve">, párr. 53, y </w:t>
      </w:r>
      <w:r w:rsidRPr="0061703D">
        <w:rPr>
          <w:rFonts w:ascii="Verdana" w:hAnsi="Verdana" w:cs="Arial"/>
          <w:i/>
          <w:sz w:val="16"/>
          <w:szCs w:val="16"/>
          <w:shd w:val="clear" w:color="auto" w:fill="FFFFFF"/>
        </w:rPr>
        <w:t>Caso Suárez Peralta Vs. Ecuador. Excepciones Preliminares, Fondo, Reparaciones y Costas</w:t>
      </w:r>
      <w:r w:rsidRPr="0061703D">
        <w:rPr>
          <w:rFonts w:ascii="Verdana" w:hAnsi="Verdana" w:cs="Arial"/>
          <w:sz w:val="16"/>
          <w:szCs w:val="16"/>
          <w:shd w:val="clear" w:color="auto" w:fill="FFFFFF"/>
        </w:rPr>
        <w:t>. Sentencia de 21 de mayo de 2013. Serie C No. 261, párr. 37.</w:t>
      </w:r>
    </w:p>
  </w:footnote>
  <w:footnote w:id="2">
    <w:p w14:paraId="04189F7C" w14:textId="04A3CE83" w:rsidR="00EA45B5" w:rsidRPr="0061703D" w:rsidRDefault="00EA45B5" w:rsidP="003F58E7">
      <w:pPr>
        <w:pStyle w:val="Textonotapie"/>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 xml:space="preserve"> </w:t>
      </w:r>
      <w:r w:rsidRPr="0061703D">
        <w:rPr>
          <w:rFonts w:ascii="Verdana" w:hAnsi="Verdana"/>
          <w:sz w:val="16"/>
          <w:szCs w:val="16"/>
        </w:rPr>
        <w:tab/>
      </w:r>
      <w:r w:rsidR="00A7198B" w:rsidRPr="00D35291">
        <w:rPr>
          <w:rFonts w:ascii="Verdana" w:hAnsi="Verdana"/>
          <w:i/>
          <w:sz w:val="16"/>
          <w:szCs w:val="16"/>
          <w:lang w:val="es-CO"/>
        </w:rPr>
        <w:t xml:space="preserve">Cfr. </w:t>
      </w:r>
      <w:r w:rsidR="00A7198B" w:rsidRPr="00D35291">
        <w:rPr>
          <w:rFonts w:ascii="Verdana" w:hAnsi="Verdana"/>
          <w:sz w:val="16"/>
          <w:szCs w:val="16"/>
          <w:lang w:val="es-CO"/>
        </w:rPr>
        <w:t xml:space="preserve">Escrito de solicitudes, argumentos y pruebas de 2 de noviembre de 2018 (expediente de fondo, </w:t>
      </w:r>
      <w:r w:rsidR="00A7198B">
        <w:rPr>
          <w:rFonts w:ascii="Verdana" w:hAnsi="Verdana"/>
          <w:sz w:val="16"/>
          <w:szCs w:val="16"/>
          <w:lang w:val="es-CO"/>
        </w:rPr>
        <w:t>folio 164</w:t>
      </w:r>
      <w:r w:rsidR="00A7198B" w:rsidRPr="00D35291">
        <w:rPr>
          <w:rFonts w:ascii="Verdana" w:hAnsi="Verdana"/>
          <w:sz w:val="16"/>
          <w:szCs w:val="16"/>
          <w:lang w:val="es-CO"/>
        </w:rPr>
        <w:t>)</w:t>
      </w:r>
    </w:p>
  </w:footnote>
  <w:footnote w:id="3">
    <w:p w14:paraId="2FDCAFAC" w14:textId="4D5C0842" w:rsidR="00CE1B26" w:rsidRPr="0061703D" w:rsidRDefault="00CE1B26" w:rsidP="003F58E7">
      <w:pPr>
        <w:pStyle w:val="Textonotapie"/>
        <w:tabs>
          <w:tab w:val="left" w:pos="567"/>
        </w:tabs>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 xml:space="preserve"> </w:t>
      </w:r>
      <w:r w:rsidRPr="0061703D">
        <w:rPr>
          <w:rFonts w:ascii="Verdana" w:hAnsi="Verdana"/>
          <w:sz w:val="16"/>
          <w:szCs w:val="16"/>
        </w:rPr>
        <w:tab/>
      </w:r>
      <w:r w:rsidRPr="0061703D">
        <w:rPr>
          <w:rFonts w:ascii="Verdana" w:hAnsi="Verdana"/>
          <w:i/>
          <w:sz w:val="16"/>
          <w:szCs w:val="16"/>
          <w:lang w:val="es-CO"/>
        </w:rPr>
        <w:t xml:space="preserve">Cfr. </w:t>
      </w:r>
      <w:r w:rsidRPr="0061703D">
        <w:rPr>
          <w:rFonts w:ascii="Verdana" w:hAnsi="Verdana"/>
          <w:sz w:val="16"/>
          <w:szCs w:val="16"/>
          <w:lang w:val="es-CO"/>
        </w:rPr>
        <w:t>Declaración rendida por Gustavo Francisco Petro Urrego ante la Corte Interamericana de Derechos Humanos en la audiencia pública celebrad</w:t>
      </w:r>
      <w:r w:rsidR="00816D95" w:rsidRPr="0061703D">
        <w:rPr>
          <w:rFonts w:ascii="Verdana" w:hAnsi="Verdana"/>
          <w:sz w:val="16"/>
          <w:szCs w:val="16"/>
          <w:lang w:val="es-CO"/>
        </w:rPr>
        <w:t>a el 6 de febrero de 2020</w:t>
      </w:r>
      <w:r w:rsidRPr="0061703D">
        <w:rPr>
          <w:rFonts w:ascii="Verdana" w:hAnsi="Verdana"/>
          <w:sz w:val="16"/>
          <w:szCs w:val="16"/>
          <w:lang w:val="es-CO"/>
        </w:rPr>
        <w:t>.</w:t>
      </w:r>
    </w:p>
  </w:footnote>
  <w:footnote w:id="4">
    <w:p w14:paraId="3F1BAFE3" w14:textId="77777777" w:rsidR="008B65EB" w:rsidRDefault="00A77A48" w:rsidP="003F58E7">
      <w:pPr>
        <w:pStyle w:val="Textonotapie"/>
        <w:tabs>
          <w:tab w:val="left" w:pos="567"/>
        </w:tabs>
        <w:spacing w:before="120" w:after="120"/>
        <w:jc w:val="both"/>
        <w:rPr>
          <w:rFonts w:ascii="Verdana" w:hAnsi="Verdana"/>
          <w:sz w:val="16"/>
          <w:szCs w:val="16"/>
          <w:lang w:val="es-CO"/>
        </w:rPr>
      </w:pPr>
      <w:r w:rsidRPr="0061703D">
        <w:rPr>
          <w:rStyle w:val="Refdenotaalpie"/>
          <w:rFonts w:ascii="Verdana" w:hAnsi="Verdana"/>
          <w:sz w:val="16"/>
          <w:szCs w:val="16"/>
          <w:lang w:val="es-CO"/>
        </w:rPr>
        <w:footnoteRef/>
      </w:r>
      <w:r w:rsidRPr="0061703D">
        <w:rPr>
          <w:rFonts w:ascii="Verdana" w:hAnsi="Verdana"/>
          <w:sz w:val="16"/>
          <w:szCs w:val="16"/>
          <w:lang w:val="es-CO"/>
        </w:rPr>
        <w:t xml:space="preserve"> </w:t>
      </w:r>
      <w:r w:rsidRPr="0061703D">
        <w:rPr>
          <w:rFonts w:ascii="Verdana" w:hAnsi="Verdana"/>
          <w:sz w:val="16"/>
          <w:szCs w:val="16"/>
          <w:lang w:val="es-CO"/>
        </w:rPr>
        <w:tab/>
      </w:r>
      <w:r w:rsidRPr="0061703D">
        <w:rPr>
          <w:rFonts w:ascii="Verdana" w:hAnsi="Verdana"/>
          <w:i/>
          <w:sz w:val="16"/>
          <w:szCs w:val="16"/>
          <w:lang w:val="es-CO"/>
        </w:rPr>
        <w:t>‘La realidad del país demanda la unidad’</w:t>
      </w:r>
      <w:r w:rsidR="00CE1B26" w:rsidRPr="0061703D">
        <w:rPr>
          <w:rFonts w:ascii="Verdana" w:hAnsi="Verdana"/>
          <w:i/>
          <w:sz w:val="16"/>
          <w:szCs w:val="16"/>
          <w:lang w:val="es-CO"/>
        </w:rPr>
        <w:t xml:space="preserve"> </w:t>
      </w:r>
      <w:r w:rsidRPr="0061703D">
        <w:rPr>
          <w:rFonts w:ascii="Verdana" w:hAnsi="Verdana"/>
          <w:sz w:val="16"/>
          <w:szCs w:val="16"/>
          <w:lang w:val="es-CO"/>
        </w:rPr>
        <w:t>(consultado en línea). En: El Tiempo, 27 d</w:t>
      </w:r>
      <w:r w:rsidR="008B65EB">
        <w:rPr>
          <w:rFonts w:ascii="Verdana" w:hAnsi="Verdana"/>
          <w:sz w:val="16"/>
          <w:szCs w:val="16"/>
          <w:lang w:val="es-CO"/>
        </w:rPr>
        <w:t xml:space="preserve">e enero de 2018. Disponible en: </w:t>
      </w:r>
    </w:p>
    <w:p w14:paraId="404C2D41" w14:textId="24375B0E" w:rsidR="00A77A48" w:rsidRPr="0061703D" w:rsidRDefault="00A77A48" w:rsidP="003F58E7">
      <w:pPr>
        <w:pStyle w:val="Textonotapie"/>
        <w:tabs>
          <w:tab w:val="left" w:pos="567"/>
        </w:tabs>
        <w:spacing w:before="120" w:after="120"/>
        <w:jc w:val="both"/>
        <w:rPr>
          <w:rFonts w:ascii="Verdana" w:hAnsi="Verdana"/>
          <w:sz w:val="16"/>
          <w:szCs w:val="16"/>
          <w:lang w:val="es-CO"/>
        </w:rPr>
      </w:pPr>
      <w:r w:rsidRPr="0061703D">
        <w:rPr>
          <w:rFonts w:ascii="Verdana" w:hAnsi="Verdana"/>
          <w:sz w:val="16"/>
          <w:szCs w:val="16"/>
          <w:lang w:val="es-CO"/>
        </w:rPr>
        <w:t>https://www.eltiempo.com/elecciones-colombia-2018/presidenciales/alejandro-ordonez-habla-sobre-candidatura-presidencial-en-coalicion-uribe-pastrana-175998</w:t>
      </w:r>
      <w:r w:rsidR="00217F1E" w:rsidRPr="0061703D">
        <w:rPr>
          <w:rFonts w:ascii="Verdana" w:hAnsi="Verdana"/>
          <w:sz w:val="16"/>
          <w:szCs w:val="16"/>
          <w:lang w:val="es-CO"/>
        </w:rPr>
        <w:t>.</w:t>
      </w:r>
    </w:p>
  </w:footnote>
  <w:footnote w:id="5">
    <w:p w14:paraId="4570F34D" w14:textId="1FBBC48F" w:rsidR="00A77A48" w:rsidRPr="0061703D" w:rsidRDefault="00A77A48" w:rsidP="003F58E7">
      <w:pPr>
        <w:pStyle w:val="Textonotapie"/>
        <w:tabs>
          <w:tab w:val="left" w:pos="567"/>
        </w:tabs>
        <w:spacing w:before="120" w:after="120"/>
        <w:jc w:val="both"/>
        <w:rPr>
          <w:rFonts w:ascii="Verdana" w:hAnsi="Verdana"/>
          <w:sz w:val="16"/>
          <w:szCs w:val="16"/>
          <w:lang w:val="es-CO"/>
        </w:rPr>
      </w:pPr>
      <w:r w:rsidRPr="0061703D">
        <w:rPr>
          <w:rStyle w:val="Refdenotaalpie"/>
          <w:rFonts w:ascii="Verdana" w:hAnsi="Verdana"/>
          <w:sz w:val="16"/>
          <w:szCs w:val="16"/>
          <w:lang w:val="es-CO"/>
        </w:rPr>
        <w:footnoteRef/>
      </w:r>
      <w:r w:rsidR="00217F1E" w:rsidRPr="0061703D">
        <w:rPr>
          <w:rFonts w:ascii="Verdana" w:hAnsi="Verdana"/>
          <w:sz w:val="16"/>
          <w:szCs w:val="16"/>
          <w:lang w:val="es-CO"/>
        </w:rPr>
        <w:t xml:space="preserve"> </w:t>
      </w:r>
      <w:r w:rsidR="00217F1E" w:rsidRPr="0061703D">
        <w:rPr>
          <w:rFonts w:ascii="Verdana" w:hAnsi="Verdana"/>
          <w:sz w:val="16"/>
          <w:szCs w:val="16"/>
          <w:lang w:val="es-CO"/>
        </w:rPr>
        <w:tab/>
        <w:t>Twee</w:t>
      </w:r>
      <w:r w:rsidRPr="0061703D">
        <w:rPr>
          <w:rFonts w:ascii="Verdana" w:hAnsi="Verdana"/>
          <w:sz w:val="16"/>
          <w:szCs w:val="16"/>
          <w:lang w:val="es-CO"/>
        </w:rPr>
        <w:t xml:space="preserve">t publicado el 15 de noviembre de 2017 por AOM desde su cuenta de Twitter (consultado en línea). En: Las 2 Orillas, 16 de noviembre de 2017. Disponible en: </w:t>
      </w:r>
      <w:hyperlink r:id="rId1" w:history="1">
        <w:r w:rsidRPr="00A7198B">
          <w:rPr>
            <w:rStyle w:val="Hipervnculo"/>
            <w:rFonts w:ascii="Verdana" w:hAnsi="Verdana"/>
            <w:color w:val="auto"/>
            <w:sz w:val="16"/>
            <w:szCs w:val="16"/>
            <w:u w:val="none"/>
            <w:lang w:val="es-CO"/>
          </w:rPr>
          <w:t>https://www.las2orillas.co/gustavo-petro-asesino-colombianos-quemo-el-palacio-de-justicia-y-no-pago-por-sus-crimenes-alejandro-ordonez/</w:t>
        </w:r>
      </w:hyperlink>
    </w:p>
  </w:footnote>
  <w:footnote w:id="6">
    <w:p w14:paraId="19329EE7" w14:textId="796CA1D3" w:rsidR="00A77A48" w:rsidRPr="00A7198B" w:rsidRDefault="00A77A48" w:rsidP="003F58E7">
      <w:pPr>
        <w:pStyle w:val="Textonotapie"/>
        <w:tabs>
          <w:tab w:val="left" w:pos="567"/>
        </w:tabs>
        <w:spacing w:before="120" w:after="120"/>
        <w:jc w:val="both"/>
        <w:rPr>
          <w:rFonts w:ascii="Verdana" w:hAnsi="Verdana"/>
          <w:sz w:val="16"/>
          <w:szCs w:val="16"/>
          <w:lang w:val="es-CO"/>
        </w:rPr>
      </w:pPr>
      <w:r w:rsidRPr="0061703D">
        <w:rPr>
          <w:rStyle w:val="Refdenotaalpie"/>
          <w:rFonts w:ascii="Verdana" w:hAnsi="Verdana"/>
          <w:sz w:val="16"/>
          <w:szCs w:val="16"/>
          <w:lang w:val="es-CO"/>
        </w:rPr>
        <w:footnoteRef/>
      </w:r>
      <w:r w:rsidR="00217F1E" w:rsidRPr="0061703D">
        <w:rPr>
          <w:rFonts w:ascii="Verdana" w:hAnsi="Verdana"/>
          <w:sz w:val="16"/>
          <w:szCs w:val="16"/>
          <w:lang w:val="es-CO"/>
        </w:rPr>
        <w:t xml:space="preserve"> </w:t>
      </w:r>
      <w:r w:rsidR="00217F1E" w:rsidRPr="0061703D">
        <w:rPr>
          <w:rFonts w:ascii="Verdana" w:hAnsi="Verdana"/>
          <w:sz w:val="16"/>
          <w:szCs w:val="16"/>
          <w:lang w:val="es-CO"/>
        </w:rPr>
        <w:tab/>
        <w:t>Twee</w:t>
      </w:r>
      <w:r w:rsidRPr="0061703D">
        <w:rPr>
          <w:rFonts w:ascii="Verdana" w:hAnsi="Verdana"/>
          <w:sz w:val="16"/>
          <w:szCs w:val="16"/>
          <w:lang w:val="es-CO"/>
        </w:rPr>
        <w:t xml:space="preserve">t publicado el 16 de noviembre de 2017 por AOM desde su cuenta de Twitter (consultado en línea). En: Las 2 Orillas, 16 de noviembre de 2017. Disponible en: </w:t>
      </w:r>
      <w:hyperlink r:id="rId2" w:history="1">
        <w:r w:rsidRPr="00A7198B">
          <w:rPr>
            <w:rStyle w:val="Hipervnculo"/>
            <w:rFonts w:ascii="Verdana" w:hAnsi="Verdana"/>
            <w:color w:val="auto"/>
            <w:sz w:val="16"/>
            <w:szCs w:val="16"/>
            <w:u w:val="none"/>
            <w:lang w:val="es-CO"/>
          </w:rPr>
          <w:t>https://www.las2orillas.co/gustavo-petro-asesino-colombianos-quemo-el-palacio-de-justicia-y-no-pago-por-sus-crimenes-alejandro-ordonez/</w:t>
        </w:r>
      </w:hyperlink>
    </w:p>
  </w:footnote>
  <w:footnote w:id="7">
    <w:p w14:paraId="407AE2A3" w14:textId="367A9C94" w:rsidR="009B2667" w:rsidRPr="0061703D" w:rsidRDefault="009B2667" w:rsidP="003F58E7">
      <w:pPr>
        <w:pStyle w:val="Textonotapie"/>
        <w:tabs>
          <w:tab w:val="left" w:pos="567"/>
        </w:tabs>
        <w:spacing w:before="120" w:after="120"/>
        <w:jc w:val="both"/>
        <w:rPr>
          <w:rFonts w:ascii="Verdana" w:hAnsi="Verdana"/>
          <w:spacing w:val="-12"/>
          <w:sz w:val="16"/>
          <w:szCs w:val="16"/>
        </w:rPr>
      </w:pPr>
      <w:r w:rsidRPr="0061703D">
        <w:rPr>
          <w:rStyle w:val="Refdenotaalpie"/>
          <w:rFonts w:ascii="Verdana" w:hAnsi="Verdana"/>
          <w:sz w:val="16"/>
          <w:szCs w:val="16"/>
        </w:rPr>
        <w:footnoteRef/>
      </w:r>
      <w:r w:rsidR="001F6C3C" w:rsidRPr="0061703D">
        <w:rPr>
          <w:rFonts w:ascii="Verdana" w:hAnsi="Verdana"/>
          <w:sz w:val="16"/>
          <w:szCs w:val="16"/>
        </w:rPr>
        <w:t xml:space="preserve"> </w:t>
      </w:r>
      <w:r w:rsidR="001F6C3C" w:rsidRPr="0061703D">
        <w:rPr>
          <w:rFonts w:ascii="Verdana" w:hAnsi="Verdana"/>
          <w:sz w:val="16"/>
          <w:szCs w:val="16"/>
        </w:rPr>
        <w:tab/>
      </w:r>
      <w:r w:rsidRPr="0061703D">
        <w:rPr>
          <w:rFonts w:ascii="Verdana" w:hAnsi="Verdana"/>
          <w:i/>
          <w:spacing w:val="-12"/>
          <w:sz w:val="16"/>
          <w:szCs w:val="16"/>
        </w:rPr>
        <w:t>Cfr. Caso Granier y otros (</w:t>
      </w:r>
      <w:r w:rsidRPr="0061703D">
        <w:rPr>
          <w:rFonts w:ascii="Verdana" w:hAnsi="Verdana" w:cs="Cambria"/>
          <w:i/>
          <w:spacing w:val="-12"/>
          <w:sz w:val="16"/>
          <w:szCs w:val="16"/>
        </w:rPr>
        <w:t>Radio Caracas Televisión</w:t>
      </w:r>
      <w:r w:rsidR="00144B5F" w:rsidRPr="0061703D">
        <w:rPr>
          <w:rFonts w:ascii="Verdana" w:hAnsi="Verdana"/>
          <w:i/>
          <w:spacing w:val="-12"/>
          <w:sz w:val="16"/>
          <w:szCs w:val="16"/>
        </w:rPr>
        <w:t>) Vs.  Venezuela.</w:t>
      </w:r>
      <w:r w:rsidRPr="0061703D">
        <w:rPr>
          <w:rFonts w:ascii="Verdana" w:hAnsi="Verdana"/>
          <w:i/>
          <w:spacing w:val="-12"/>
          <w:sz w:val="16"/>
          <w:szCs w:val="16"/>
        </w:rPr>
        <w:t xml:space="preserve"> </w:t>
      </w:r>
      <w:r w:rsidR="00144B5F" w:rsidRPr="0061703D">
        <w:rPr>
          <w:rFonts w:ascii="Verdana" w:hAnsi="Verdana"/>
          <w:i/>
          <w:spacing w:val="-12"/>
          <w:sz w:val="16"/>
          <w:szCs w:val="16"/>
        </w:rPr>
        <w:t xml:space="preserve">Excepciones Preliminares, Fondo, Reparaciones y Costas. </w:t>
      </w:r>
      <w:r w:rsidR="00144B5F" w:rsidRPr="0061703D">
        <w:rPr>
          <w:rFonts w:ascii="Verdana" w:hAnsi="Verdana"/>
          <w:spacing w:val="-12"/>
          <w:sz w:val="16"/>
          <w:szCs w:val="16"/>
        </w:rPr>
        <w:t xml:space="preserve">Sentencia de </w:t>
      </w:r>
      <w:r w:rsidR="00BB7A53">
        <w:rPr>
          <w:rFonts w:ascii="Verdana" w:hAnsi="Verdana"/>
          <w:spacing w:val="-12"/>
          <w:sz w:val="16"/>
          <w:szCs w:val="16"/>
        </w:rPr>
        <w:t>22 de junio de 2015.</w:t>
      </w:r>
      <w:r w:rsidR="00144B5F" w:rsidRPr="0061703D">
        <w:rPr>
          <w:rFonts w:ascii="Verdana" w:hAnsi="Verdana"/>
          <w:spacing w:val="-12"/>
          <w:sz w:val="16"/>
          <w:szCs w:val="16"/>
        </w:rPr>
        <w:t xml:space="preserve"> Serie C No. 293, párr. 189, y </w:t>
      </w:r>
      <w:r w:rsidR="00144B5F" w:rsidRPr="0061703D">
        <w:rPr>
          <w:rFonts w:ascii="Verdana" w:hAnsi="Verdana"/>
          <w:i/>
          <w:spacing w:val="-12"/>
          <w:sz w:val="16"/>
          <w:szCs w:val="16"/>
        </w:rPr>
        <w:t xml:space="preserve">Caso San Miguel Sosa y otras Vs. Venezuela. Fondo, Reparaciones y Costas. </w:t>
      </w:r>
      <w:r w:rsidR="00144B5F" w:rsidRPr="0061703D">
        <w:rPr>
          <w:rFonts w:ascii="Verdana" w:hAnsi="Verdana"/>
          <w:spacing w:val="-12"/>
          <w:sz w:val="16"/>
          <w:szCs w:val="16"/>
        </w:rPr>
        <w:t>Se</w:t>
      </w:r>
      <w:r w:rsidR="00BB7A53">
        <w:rPr>
          <w:rFonts w:ascii="Verdana" w:hAnsi="Verdana"/>
          <w:spacing w:val="-12"/>
          <w:sz w:val="16"/>
          <w:szCs w:val="16"/>
        </w:rPr>
        <w:t>ntencia de 8 de febrero de 2018.</w:t>
      </w:r>
      <w:r w:rsidR="00144B5F" w:rsidRPr="0061703D">
        <w:rPr>
          <w:rFonts w:ascii="Verdana" w:hAnsi="Verdana"/>
          <w:spacing w:val="-12"/>
          <w:sz w:val="16"/>
          <w:szCs w:val="16"/>
        </w:rPr>
        <w:t xml:space="preserve"> Serie C No. 348, párr. 190.</w:t>
      </w:r>
    </w:p>
  </w:footnote>
  <w:footnote w:id="8">
    <w:p w14:paraId="43F70BBD" w14:textId="138A5047" w:rsidR="005F6770" w:rsidRPr="0061703D" w:rsidRDefault="009B2667" w:rsidP="003F58E7">
      <w:pPr>
        <w:pStyle w:val="Textonotapie"/>
        <w:tabs>
          <w:tab w:val="left" w:pos="426"/>
          <w:tab w:val="left" w:pos="567"/>
        </w:tabs>
        <w:spacing w:before="120" w:after="120"/>
        <w:jc w:val="both"/>
        <w:rPr>
          <w:rFonts w:ascii="Verdana" w:hAnsi="Verdana"/>
          <w:sz w:val="16"/>
          <w:szCs w:val="16"/>
        </w:rPr>
      </w:pPr>
      <w:r w:rsidRPr="0061703D">
        <w:rPr>
          <w:rStyle w:val="Refdenotaalpie"/>
          <w:rFonts w:ascii="Verdana" w:hAnsi="Verdana"/>
          <w:sz w:val="16"/>
          <w:szCs w:val="16"/>
        </w:rPr>
        <w:footnoteRef/>
      </w:r>
      <w:r w:rsidR="001F6C3C" w:rsidRPr="0061703D">
        <w:rPr>
          <w:rFonts w:ascii="Verdana" w:hAnsi="Verdana"/>
          <w:sz w:val="16"/>
          <w:szCs w:val="16"/>
        </w:rPr>
        <w:t xml:space="preserve"> </w:t>
      </w:r>
      <w:r w:rsidR="001F6C3C" w:rsidRPr="0061703D">
        <w:rPr>
          <w:rFonts w:ascii="Verdana" w:hAnsi="Verdana"/>
          <w:sz w:val="16"/>
          <w:szCs w:val="16"/>
        </w:rPr>
        <w:tab/>
      </w:r>
      <w:r w:rsidR="008B65EB">
        <w:rPr>
          <w:rFonts w:ascii="Verdana" w:hAnsi="Verdana"/>
          <w:sz w:val="16"/>
          <w:szCs w:val="16"/>
        </w:rPr>
        <w:tab/>
      </w:r>
      <w:r w:rsidRPr="0061703D">
        <w:rPr>
          <w:rFonts w:ascii="Verdana" w:hAnsi="Verdana"/>
          <w:i/>
          <w:sz w:val="16"/>
          <w:szCs w:val="16"/>
        </w:rPr>
        <w:t xml:space="preserve">Cfr. </w:t>
      </w:r>
      <w:r w:rsidR="008D7DE9" w:rsidRPr="0061703D">
        <w:rPr>
          <w:rFonts w:ascii="Verdana" w:hAnsi="Verdana"/>
          <w:i/>
          <w:iCs/>
          <w:sz w:val="16"/>
          <w:szCs w:val="16"/>
        </w:rPr>
        <w:t>Caso Atala Riffo y n</w:t>
      </w:r>
      <w:r w:rsidRPr="0061703D">
        <w:rPr>
          <w:rFonts w:ascii="Verdana" w:hAnsi="Verdana"/>
          <w:i/>
          <w:iCs/>
          <w:sz w:val="16"/>
          <w:szCs w:val="16"/>
        </w:rPr>
        <w:t>iñas Vs. Chile</w:t>
      </w:r>
      <w:r w:rsidR="008D7DE9" w:rsidRPr="0061703D">
        <w:rPr>
          <w:rFonts w:ascii="Verdana" w:hAnsi="Verdana"/>
          <w:i/>
          <w:iCs/>
          <w:sz w:val="16"/>
          <w:szCs w:val="16"/>
        </w:rPr>
        <w:t xml:space="preserve">. Fondo, Reparaciones y Costas. </w:t>
      </w:r>
      <w:r w:rsidR="008D7DE9" w:rsidRPr="0061703D">
        <w:rPr>
          <w:rFonts w:ascii="Verdana" w:hAnsi="Verdana"/>
          <w:iCs/>
          <w:sz w:val="16"/>
          <w:szCs w:val="16"/>
        </w:rPr>
        <w:t xml:space="preserve">Sentencia de 24 de febrero de 2012, párr. 81, y </w:t>
      </w:r>
      <w:r w:rsidR="008D7DE9" w:rsidRPr="0061703D">
        <w:rPr>
          <w:rFonts w:ascii="Verdana" w:hAnsi="Verdana"/>
          <w:i/>
          <w:iCs/>
          <w:sz w:val="16"/>
          <w:szCs w:val="16"/>
        </w:rPr>
        <w:t xml:space="preserve">Caso Ramírez Escobar y otros Vs. Guatemala. Fondo, Reparaciones y Costas. </w:t>
      </w:r>
      <w:r w:rsidR="008D7DE9" w:rsidRPr="0061703D">
        <w:rPr>
          <w:rFonts w:ascii="Verdana" w:hAnsi="Verdana"/>
          <w:iCs/>
          <w:sz w:val="16"/>
          <w:szCs w:val="16"/>
        </w:rPr>
        <w:t>Sentencia de 9 de marzo de 2018. Serie C No. 351, párr. 269.</w:t>
      </w:r>
    </w:p>
  </w:footnote>
  <w:footnote w:id="9">
    <w:p w14:paraId="6B99AE96" w14:textId="3C367EF2" w:rsidR="005F6770" w:rsidRPr="0061703D" w:rsidRDefault="009B2667" w:rsidP="003F58E7">
      <w:pPr>
        <w:pStyle w:val="Textonotapie"/>
        <w:tabs>
          <w:tab w:val="left" w:pos="426"/>
          <w:tab w:val="left" w:pos="567"/>
        </w:tabs>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ab/>
      </w:r>
      <w:r w:rsidR="008B65EB">
        <w:rPr>
          <w:rFonts w:ascii="Verdana" w:hAnsi="Verdana"/>
          <w:sz w:val="16"/>
          <w:szCs w:val="16"/>
        </w:rPr>
        <w:tab/>
      </w:r>
      <w:r w:rsidRPr="0061703D">
        <w:rPr>
          <w:rFonts w:ascii="Verdana" w:hAnsi="Verdana"/>
          <w:i/>
          <w:sz w:val="16"/>
          <w:szCs w:val="16"/>
        </w:rPr>
        <w:t xml:space="preserve">Cfr. </w:t>
      </w:r>
      <w:r w:rsidR="000720C1" w:rsidRPr="0061703D">
        <w:rPr>
          <w:rFonts w:ascii="Verdana" w:hAnsi="Verdana"/>
          <w:i/>
          <w:sz w:val="16"/>
          <w:szCs w:val="16"/>
        </w:rPr>
        <w:t xml:space="preserve">Propuesta de modificación a la Constitución Política de Costa Rica relacionada con la naturalización. </w:t>
      </w:r>
      <w:r w:rsidR="000720C1" w:rsidRPr="0061703D">
        <w:rPr>
          <w:rFonts w:ascii="Verdana" w:hAnsi="Verdana"/>
          <w:sz w:val="16"/>
          <w:szCs w:val="16"/>
        </w:rPr>
        <w:t>Opinión Consultiva</w:t>
      </w:r>
      <w:r w:rsidR="00696543">
        <w:rPr>
          <w:rFonts w:ascii="Verdana" w:hAnsi="Verdana"/>
          <w:sz w:val="16"/>
          <w:szCs w:val="16"/>
        </w:rPr>
        <w:t xml:space="preserve"> OC-4/84 de 19 de enero de 1984.</w:t>
      </w:r>
      <w:r w:rsidR="000720C1" w:rsidRPr="0061703D">
        <w:rPr>
          <w:rFonts w:ascii="Verdana" w:hAnsi="Verdana"/>
          <w:sz w:val="16"/>
          <w:szCs w:val="16"/>
        </w:rPr>
        <w:t xml:space="preserve"> Serie A No. 4, </w:t>
      </w:r>
      <w:r w:rsidRPr="0061703D">
        <w:rPr>
          <w:rFonts w:ascii="Verdana" w:hAnsi="Verdana"/>
          <w:sz w:val="16"/>
          <w:szCs w:val="16"/>
        </w:rPr>
        <w:t xml:space="preserve">párr. 53, y </w:t>
      </w:r>
      <w:r w:rsidR="008D7DE9" w:rsidRPr="0061703D">
        <w:rPr>
          <w:rFonts w:ascii="Verdana" w:hAnsi="Verdana"/>
          <w:i/>
          <w:sz w:val="16"/>
          <w:szCs w:val="16"/>
        </w:rPr>
        <w:t xml:space="preserve">Caso I.V. Vs. Bolivia. Excepciones Preliminares, Fondo, Reparaciones y Costas. </w:t>
      </w:r>
      <w:r w:rsidR="008D7DE9" w:rsidRPr="0061703D">
        <w:rPr>
          <w:rFonts w:ascii="Verdana" w:hAnsi="Verdana"/>
          <w:sz w:val="16"/>
          <w:szCs w:val="16"/>
        </w:rPr>
        <w:t>Sente</w:t>
      </w:r>
      <w:r w:rsidR="00696543">
        <w:rPr>
          <w:rFonts w:ascii="Verdana" w:hAnsi="Verdana"/>
          <w:sz w:val="16"/>
          <w:szCs w:val="16"/>
        </w:rPr>
        <w:t>ncia de 30 de noviembre de 2016.</w:t>
      </w:r>
      <w:r w:rsidR="008D7DE9" w:rsidRPr="0061703D">
        <w:rPr>
          <w:rFonts w:ascii="Verdana" w:hAnsi="Verdana"/>
          <w:sz w:val="16"/>
          <w:szCs w:val="16"/>
        </w:rPr>
        <w:t xml:space="preserve"> Serie C No. 329,</w:t>
      </w:r>
      <w:r w:rsidRPr="0061703D">
        <w:rPr>
          <w:rFonts w:ascii="Verdana" w:hAnsi="Verdana"/>
          <w:sz w:val="16"/>
          <w:szCs w:val="16"/>
        </w:rPr>
        <w:t xml:space="preserve"> párr. 239.</w:t>
      </w:r>
      <w:r w:rsidR="000720C1" w:rsidRPr="0061703D">
        <w:rPr>
          <w:rFonts w:ascii="Verdana" w:hAnsi="Verdana"/>
          <w:sz w:val="16"/>
          <w:szCs w:val="16"/>
        </w:rPr>
        <w:t xml:space="preserve"> </w:t>
      </w:r>
    </w:p>
  </w:footnote>
  <w:footnote w:id="10">
    <w:p w14:paraId="6C092E1A" w14:textId="0B58E724" w:rsidR="005F6770" w:rsidRPr="0061703D" w:rsidRDefault="009B2667" w:rsidP="003F58E7">
      <w:pPr>
        <w:pStyle w:val="Textonotapie"/>
        <w:tabs>
          <w:tab w:val="left" w:pos="426"/>
          <w:tab w:val="left" w:pos="567"/>
        </w:tabs>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 xml:space="preserve"> </w:t>
      </w:r>
      <w:r w:rsidRPr="0061703D">
        <w:rPr>
          <w:rFonts w:ascii="Verdana" w:hAnsi="Verdana"/>
          <w:sz w:val="16"/>
          <w:szCs w:val="16"/>
        </w:rPr>
        <w:tab/>
      </w:r>
      <w:r w:rsidR="008B65EB">
        <w:rPr>
          <w:rFonts w:ascii="Verdana" w:hAnsi="Verdana"/>
          <w:sz w:val="16"/>
          <w:szCs w:val="16"/>
        </w:rPr>
        <w:tab/>
      </w:r>
      <w:r w:rsidRPr="0061703D">
        <w:rPr>
          <w:rFonts w:ascii="Verdana" w:hAnsi="Verdana"/>
          <w:i/>
          <w:iCs/>
          <w:sz w:val="16"/>
          <w:szCs w:val="16"/>
        </w:rPr>
        <w:t>Cfr</w:t>
      </w:r>
      <w:r w:rsidRPr="0061703D">
        <w:rPr>
          <w:rFonts w:ascii="Verdana" w:hAnsi="Verdana"/>
          <w:sz w:val="16"/>
          <w:szCs w:val="16"/>
        </w:rPr>
        <w:t xml:space="preserve">. </w:t>
      </w:r>
      <w:r w:rsidR="000720C1" w:rsidRPr="0061703D">
        <w:rPr>
          <w:rFonts w:ascii="Verdana" w:hAnsi="Verdana"/>
          <w:i/>
          <w:sz w:val="16"/>
          <w:szCs w:val="16"/>
        </w:rPr>
        <w:t xml:space="preserve">Condición jurídica y derechos de los migrantes indocumentados. </w:t>
      </w:r>
      <w:r w:rsidRPr="0061703D">
        <w:rPr>
          <w:rFonts w:ascii="Verdana" w:hAnsi="Verdana"/>
          <w:sz w:val="16"/>
          <w:szCs w:val="16"/>
        </w:rPr>
        <w:t>Opinión Consultiva OC-18/03</w:t>
      </w:r>
      <w:r w:rsidR="000720C1" w:rsidRPr="0061703D">
        <w:rPr>
          <w:rFonts w:ascii="Verdana" w:hAnsi="Verdana"/>
          <w:sz w:val="16"/>
          <w:szCs w:val="16"/>
        </w:rPr>
        <w:t xml:space="preserve"> de 17 de septiembre de 2003</w:t>
      </w:r>
      <w:r w:rsidRPr="0061703D">
        <w:rPr>
          <w:rFonts w:ascii="Verdana" w:hAnsi="Verdana"/>
          <w:sz w:val="16"/>
          <w:szCs w:val="16"/>
        </w:rPr>
        <w:t>, párr. 85, y</w:t>
      </w:r>
      <w:r w:rsidR="000720C1" w:rsidRPr="0061703D">
        <w:rPr>
          <w:rFonts w:ascii="Verdana" w:hAnsi="Verdana"/>
          <w:sz w:val="16"/>
          <w:szCs w:val="16"/>
        </w:rPr>
        <w:t xml:space="preserve"> </w:t>
      </w:r>
      <w:r w:rsidRPr="0061703D">
        <w:rPr>
          <w:rFonts w:ascii="Verdana" w:hAnsi="Verdana"/>
          <w:i/>
          <w:sz w:val="16"/>
          <w:szCs w:val="16"/>
        </w:rPr>
        <w:t>Caso Trabajadores de la Hacienda Brasil Verde Vs. Brasil. Excepciones Preliminares, Fondo, Reparaciones y Costas</w:t>
      </w:r>
      <w:r w:rsidRPr="0061703D">
        <w:rPr>
          <w:rFonts w:ascii="Verdana" w:hAnsi="Verdana"/>
          <w:sz w:val="16"/>
          <w:szCs w:val="16"/>
        </w:rPr>
        <w:t>. Sentencia de 20 de octubre de 2016. Serie C No. 318, párr. 335.</w:t>
      </w:r>
    </w:p>
  </w:footnote>
  <w:footnote w:id="11">
    <w:p w14:paraId="5D48EF83" w14:textId="77777777" w:rsidR="009B2667" w:rsidRPr="0061703D" w:rsidRDefault="009B2667" w:rsidP="003F58E7">
      <w:pPr>
        <w:pStyle w:val="Textonotapie"/>
        <w:tabs>
          <w:tab w:val="left" w:pos="567"/>
        </w:tabs>
        <w:spacing w:before="120" w:after="120"/>
        <w:jc w:val="both"/>
        <w:rPr>
          <w:rFonts w:ascii="Verdana" w:hAnsi="Verdana"/>
          <w:spacing w:val="-12"/>
          <w:sz w:val="16"/>
          <w:szCs w:val="16"/>
        </w:rPr>
      </w:pPr>
      <w:r w:rsidRPr="0061703D">
        <w:rPr>
          <w:rStyle w:val="Refdenotaalpie"/>
          <w:rFonts w:ascii="Verdana" w:eastAsia="Calibri" w:hAnsi="Verdana"/>
          <w:spacing w:val="-12"/>
          <w:sz w:val="16"/>
          <w:szCs w:val="16"/>
        </w:rPr>
        <w:footnoteRef/>
      </w:r>
      <w:r w:rsidRPr="0061703D">
        <w:rPr>
          <w:rFonts w:ascii="Verdana" w:hAnsi="Verdana"/>
          <w:spacing w:val="-12"/>
          <w:sz w:val="16"/>
          <w:szCs w:val="16"/>
        </w:rPr>
        <w:t xml:space="preserve"> </w:t>
      </w:r>
      <w:r w:rsidRPr="0061703D">
        <w:rPr>
          <w:rFonts w:ascii="Verdana" w:hAnsi="Verdana"/>
          <w:spacing w:val="-12"/>
          <w:sz w:val="16"/>
          <w:szCs w:val="16"/>
        </w:rPr>
        <w:tab/>
      </w:r>
      <w:r w:rsidRPr="0061703D">
        <w:rPr>
          <w:rFonts w:ascii="Verdana" w:hAnsi="Verdana"/>
          <w:i/>
          <w:spacing w:val="-12"/>
          <w:sz w:val="16"/>
          <w:szCs w:val="16"/>
        </w:rPr>
        <w:t>Cfr. Caso de la Corte Suprema de Justicia (Quintana Coello y otros) Vs. Ecuador. Excepción Preliminar, Fondo, Reparaciones y Costas.</w:t>
      </w:r>
      <w:r w:rsidRPr="0061703D">
        <w:rPr>
          <w:rFonts w:ascii="Verdana" w:hAnsi="Verdana"/>
          <w:spacing w:val="-12"/>
          <w:sz w:val="16"/>
          <w:szCs w:val="16"/>
        </w:rPr>
        <w:t xml:space="preserve"> Sentencia de 23 de agosto de 2013. Serie C No. 266, párr. 173, y </w:t>
      </w:r>
      <w:r w:rsidRPr="0061703D">
        <w:rPr>
          <w:rFonts w:ascii="Verdana" w:hAnsi="Verdana"/>
          <w:i/>
          <w:spacing w:val="-12"/>
          <w:sz w:val="16"/>
          <w:szCs w:val="16"/>
        </w:rPr>
        <w:t>Caso del Tribunal Constitucional (Camba Campos y otros) Vs. Ecuador. Excepciones Preliminares, Fondo, Reparaciones y Costas.</w:t>
      </w:r>
      <w:r w:rsidRPr="0061703D">
        <w:rPr>
          <w:rFonts w:ascii="Verdana" w:hAnsi="Verdana"/>
          <w:spacing w:val="-12"/>
          <w:sz w:val="16"/>
          <w:szCs w:val="16"/>
        </w:rPr>
        <w:t xml:space="preserve"> Sentencia de 28 de agosto de 2013. Serie C No. 268, párr. 210.</w:t>
      </w:r>
    </w:p>
  </w:footnote>
  <w:footnote w:id="12">
    <w:p w14:paraId="52195C97" w14:textId="22D4C32A" w:rsidR="009B2667" w:rsidRPr="0061703D" w:rsidRDefault="009B2667" w:rsidP="003F58E7">
      <w:pPr>
        <w:tabs>
          <w:tab w:val="left" w:pos="567"/>
        </w:tabs>
        <w:spacing w:before="120" w:after="120" w:line="240" w:lineRule="auto"/>
        <w:jc w:val="both"/>
        <w:rPr>
          <w:rFonts w:ascii="Verdana" w:hAnsi="Verdana" w:cs="Arial"/>
          <w:spacing w:val="-12"/>
          <w:sz w:val="16"/>
          <w:szCs w:val="16"/>
          <w:lang w:val="es-ES"/>
        </w:rPr>
      </w:pPr>
      <w:r w:rsidRPr="0061703D">
        <w:rPr>
          <w:rStyle w:val="Refdenotaalpie"/>
          <w:rFonts w:ascii="Verdana" w:eastAsia="ヒラギノ角ゴ Pro W3" w:hAnsi="Verdana"/>
          <w:spacing w:val="-12"/>
          <w:sz w:val="16"/>
          <w:szCs w:val="16"/>
        </w:rPr>
        <w:footnoteRef/>
      </w:r>
      <w:r w:rsidRPr="0061703D">
        <w:rPr>
          <w:rFonts w:ascii="Verdana" w:hAnsi="Verdana"/>
          <w:spacing w:val="-12"/>
          <w:sz w:val="16"/>
          <w:szCs w:val="16"/>
        </w:rPr>
        <w:t xml:space="preserve"> </w:t>
      </w:r>
      <w:r w:rsidRPr="0061703D">
        <w:rPr>
          <w:rFonts w:ascii="Verdana" w:hAnsi="Verdana"/>
          <w:spacing w:val="-12"/>
          <w:sz w:val="16"/>
          <w:szCs w:val="16"/>
        </w:rPr>
        <w:tab/>
      </w:r>
      <w:r w:rsidRPr="0061703D">
        <w:rPr>
          <w:rFonts w:ascii="Verdana" w:hAnsi="Verdana"/>
          <w:i/>
          <w:spacing w:val="-12"/>
          <w:sz w:val="16"/>
          <w:szCs w:val="16"/>
        </w:rPr>
        <w:t xml:space="preserve">Cfr. Caso de la Corte Suprema de Justicia (Quintana Coello y otros) Vs. Ecuador, supra, </w:t>
      </w:r>
      <w:r w:rsidRPr="0061703D">
        <w:rPr>
          <w:rFonts w:ascii="Verdana" w:hAnsi="Verdana"/>
          <w:spacing w:val="-12"/>
          <w:sz w:val="16"/>
          <w:szCs w:val="16"/>
        </w:rPr>
        <w:t xml:space="preserve">párr. 173. Al respecto, el Tribunal Europeo ha tenido en cuenta el propósito o motivación que las autoridades estatales mostraron a la hora de ejercer sus funciones, para determinar si existió o no una violación al Convenio Europeo de Derechos Humanos. Ver </w:t>
      </w:r>
      <w:r w:rsidRPr="0061703D">
        <w:rPr>
          <w:rFonts w:ascii="Verdana" w:hAnsi="Verdana"/>
          <w:spacing w:val="-12"/>
          <w:sz w:val="16"/>
          <w:szCs w:val="16"/>
          <w:lang w:val="es-CO"/>
        </w:rPr>
        <w:t xml:space="preserve">TEDH, </w:t>
      </w:r>
      <w:r w:rsidRPr="0061703D">
        <w:rPr>
          <w:rFonts w:ascii="Verdana" w:hAnsi="Verdana" w:cs="Arial"/>
          <w:i/>
          <w:spacing w:val="-12"/>
          <w:sz w:val="16"/>
          <w:szCs w:val="16"/>
          <w:lang w:val="es-ES"/>
        </w:rPr>
        <w:t>Caso Gusinskiy Vs. Rusia</w:t>
      </w:r>
      <w:r w:rsidRPr="0061703D">
        <w:rPr>
          <w:rFonts w:ascii="Verdana" w:hAnsi="Verdana" w:cs="Arial"/>
          <w:spacing w:val="-12"/>
          <w:sz w:val="16"/>
          <w:szCs w:val="16"/>
          <w:lang w:val="es-ES"/>
        </w:rPr>
        <w:t xml:space="preserve">, (No. 70276/01), Sentencia de 19 de mayo de 2004, párrs. </w:t>
      </w:r>
      <w:r w:rsidRPr="0061703D">
        <w:rPr>
          <w:rFonts w:ascii="Verdana" w:hAnsi="Verdana" w:cs="Arial"/>
          <w:spacing w:val="-12"/>
          <w:sz w:val="16"/>
          <w:szCs w:val="16"/>
        </w:rPr>
        <w:t xml:space="preserve">71 a 78; Caso </w:t>
      </w:r>
      <w:r w:rsidRPr="0061703D">
        <w:rPr>
          <w:rFonts w:ascii="Verdana" w:hAnsi="Verdana" w:cs="Arial"/>
          <w:i/>
          <w:iCs/>
          <w:spacing w:val="-12"/>
          <w:sz w:val="16"/>
          <w:szCs w:val="16"/>
        </w:rPr>
        <w:t xml:space="preserve">Cebotari Vs. </w:t>
      </w:r>
      <w:r w:rsidRPr="0061703D">
        <w:rPr>
          <w:rFonts w:ascii="Verdana" w:hAnsi="Verdana" w:cs="Arial"/>
          <w:i/>
          <w:iCs/>
          <w:spacing w:val="-12"/>
          <w:sz w:val="16"/>
          <w:szCs w:val="16"/>
          <w:lang w:val="es-ES"/>
        </w:rPr>
        <w:t>Moldavia</w:t>
      </w:r>
      <w:r w:rsidRPr="0061703D">
        <w:rPr>
          <w:rFonts w:ascii="Verdana" w:hAnsi="Verdana" w:cs="Arial"/>
          <w:iCs/>
          <w:spacing w:val="-12"/>
          <w:sz w:val="16"/>
          <w:szCs w:val="16"/>
          <w:lang w:val="es-ES"/>
        </w:rPr>
        <w:t xml:space="preserve">, </w:t>
      </w:r>
      <w:r w:rsidRPr="0061703D">
        <w:rPr>
          <w:rFonts w:ascii="Verdana" w:hAnsi="Verdana" w:cs="Arial"/>
          <w:spacing w:val="-12"/>
          <w:sz w:val="16"/>
          <w:szCs w:val="16"/>
          <w:lang w:val="es-ES"/>
        </w:rPr>
        <w:t>(No.</w:t>
      </w:r>
      <w:r w:rsidRPr="0061703D">
        <w:rPr>
          <w:rFonts w:ascii="Verdana" w:hAnsi="Verdana"/>
          <w:spacing w:val="-12"/>
          <w:sz w:val="16"/>
          <w:szCs w:val="16"/>
          <w:lang w:val="es-ES"/>
        </w:rPr>
        <w:t xml:space="preserve"> </w:t>
      </w:r>
      <w:r w:rsidRPr="0061703D">
        <w:rPr>
          <w:rFonts w:ascii="Verdana" w:hAnsi="Verdana" w:cs="Arial"/>
          <w:spacing w:val="-12"/>
          <w:sz w:val="16"/>
          <w:szCs w:val="16"/>
          <w:lang w:val="es-ES"/>
        </w:rPr>
        <w:t xml:space="preserve">35615/06), </w:t>
      </w:r>
      <w:r w:rsidRPr="0061703D">
        <w:rPr>
          <w:rFonts w:ascii="Verdana" w:hAnsi="Verdana" w:cs="Arial"/>
          <w:iCs/>
          <w:spacing w:val="-12"/>
          <w:sz w:val="16"/>
          <w:szCs w:val="16"/>
          <w:lang w:val="es-ES"/>
        </w:rPr>
        <w:t xml:space="preserve">Sentencia de 13 de noviembre de 2007, </w:t>
      </w:r>
      <w:r w:rsidRPr="0061703D">
        <w:rPr>
          <w:rFonts w:ascii="Verdana" w:hAnsi="Verdana" w:cs="Arial"/>
          <w:spacing w:val="-12"/>
          <w:sz w:val="16"/>
          <w:szCs w:val="16"/>
          <w:lang w:val="es-ES"/>
        </w:rPr>
        <w:t xml:space="preserve">párrs. </w:t>
      </w:r>
      <w:r w:rsidRPr="0061703D">
        <w:rPr>
          <w:rFonts w:ascii="Verdana" w:hAnsi="Verdana" w:cs="Arial"/>
          <w:iCs/>
          <w:spacing w:val="-12"/>
          <w:sz w:val="16"/>
          <w:szCs w:val="16"/>
          <w:lang w:val="es-ES"/>
        </w:rPr>
        <w:t xml:space="preserve">46 a 53, </w:t>
      </w:r>
      <w:r w:rsidRPr="0061703D">
        <w:rPr>
          <w:rFonts w:ascii="Verdana" w:hAnsi="Verdana" w:cs="Arial"/>
          <w:spacing w:val="-12"/>
          <w:sz w:val="16"/>
          <w:szCs w:val="16"/>
          <w:lang w:val="es-ES"/>
        </w:rPr>
        <w:t xml:space="preserve">y </w:t>
      </w:r>
      <w:r w:rsidRPr="0061703D">
        <w:rPr>
          <w:rFonts w:ascii="Verdana" w:hAnsi="Verdana" w:cs="Arial"/>
          <w:i/>
          <w:spacing w:val="-12"/>
          <w:sz w:val="16"/>
          <w:szCs w:val="16"/>
          <w:lang w:val="es-ES"/>
        </w:rPr>
        <w:t>Caso Lutsenko Vs. Ucrania</w:t>
      </w:r>
      <w:r w:rsidRPr="0061703D">
        <w:rPr>
          <w:rFonts w:ascii="Verdana" w:hAnsi="Verdana" w:cs="Arial"/>
          <w:spacing w:val="-12"/>
          <w:sz w:val="16"/>
          <w:szCs w:val="16"/>
          <w:lang w:val="es-ES"/>
        </w:rPr>
        <w:t>, (No.</w:t>
      </w:r>
      <w:r w:rsidRPr="0061703D">
        <w:rPr>
          <w:rFonts w:ascii="Verdana" w:hAnsi="Verdana"/>
          <w:spacing w:val="-12"/>
          <w:sz w:val="16"/>
          <w:szCs w:val="16"/>
          <w:lang w:val="es-ES"/>
        </w:rPr>
        <w:t xml:space="preserve"> </w:t>
      </w:r>
      <w:r w:rsidRPr="0061703D">
        <w:rPr>
          <w:rFonts w:ascii="Verdana" w:hAnsi="Verdana" w:cs="Arial"/>
          <w:spacing w:val="-12"/>
          <w:sz w:val="16"/>
          <w:szCs w:val="16"/>
          <w:lang w:val="es-ES"/>
        </w:rPr>
        <w:t>6492/11),</w:t>
      </w:r>
      <w:r w:rsidRPr="0061703D">
        <w:rPr>
          <w:rFonts w:ascii="Verdana" w:hAnsi="Verdana" w:cs="Arial"/>
          <w:i/>
          <w:spacing w:val="-12"/>
          <w:sz w:val="16"/>
          <w:szCs w:val="16"/>
          <w:lang w:val="es-ES"/>
        </w:rPr>
        <w:t xml:space="preserve"> </w:t>
      </w:r>
      <w:r w:rsidRPr="0061703D">
        <w:rPr>
          <w:rFonts w:ascii="Verdana" w:hAnsi="Verdana" w:cs="Arial"/>
          <w:spacing w:val="-12"/>
          <w:sz w:val="16"/>
          <w:szCs w:val="16"/>
          <w:lang w:val="es-ES"/>
        </w:rPr>
        <w:t>Sentencia de 3 de julio de 2012, párrs. 100 a 110.</w:t>
      </w:r>
    </w:p>
  </w:footnote>
  <w:footnote w:id="13">
    <w:p w14:paraId="3201F6A8" w14:textId="6CA7F6F7" w:rsidR="009B2667" w:rsidRPr="0061703D" w:rsidRDefault="009B2667" w:rsidP="003F58E7">
      <w:pPr>
        <w:pStyle w:val="Textonotapie"/>
        <w:tabs>
          <w:tab w:val="left" w:pos="567"/>
        </w:tabs>
        <w:spacing w:before="120" w:after="120"/>
        <w:jc w:val="both"/>
        <w:rPr>
          <w:rFonts w:ascii="Verdana" w:hAnsi="Verdana"/>
          <w:sz w:val="16"/>
          <w:szCs w:val="16"/>
        </w:rPr>
      </w:pPr>
      <w:r w:rsidRPr="0061703D">
        <w:rPr>
          <w:rStyle w:val="Refdenotaalpie"/>
          <w:rFonts w:ascii="Verdana" w:eastAsia="Calibri" w:hAnsi="Verdana"/>
          <w:spacing w:val="-12"/>
          <w:sz w:val="16"/>
          <w:szCs w:val="16"/>
        </w:rPr>
        <w:footnoteRef/>
      </w:r>
      <w:r w:rsidRPr="0061703D">
        <w:rPr>
          <w:rFonts w:ascii="Verdana" w:hAnsi="Verdana"/>
          <w:sz w:val="16"/>
          <w:szCs w:val="16"/>
        </w:rPr>
        <w:tab/>
      </w:r>
      <w:r w:rsidRPr="0061703D">
        <w:rPr>
          <w:rFonts w:ascii="Verdana" w:hAnsi="Verdana"/>
          <w:i/>
          <w:spacing w:val="-12"/>
          <w:sz w:val="16"/>
          <w:szCs w:val="16"/>
        </w:rPr>
        <w:t>Cfr. Caso Granier y otros (</w:t>
      </w:r>
      <w:r w:rsidRPr="0061703D">
        <w:rPr>
          <w:rFonts w:ascii="Verdana" w:hAnsi="Verdana" w:cs="Cambria"/>
          <w:spacing w:val="-12"/>
          <w:sz w:val="16"/>
          <w:szCs w:val="16"/>
        </w:rPr>
        <w:t>Radio Caracas Televisión</w:t>
      </w:r>
      <w:r w:rsidR="00FF4C55">
        <w:rPr>
          <w:rFonts w:ascii="Verdana" w:hAnsi="Verdana"/>
          <w:i/>
          <w:spacing w:val="-12"/>
          <w:sz w:val="16"/>
          <w:szCs w:val="16"/>
        </w:rPr>
        <w:t xml:space="preserve">) Vs. </w:t>
      </w:r>
      <w:r w:rsidRPr="0061703D">
        <w:rPr>
          <w:rFonts w:ascii="Verdana" w:hAnsi="Verdana"/>
          <w:i/>
          <w:spacing w:val="-12"/>
          <w:sz w:val="16"/>
          <w:szCs w:val="16"/>
        </w:rPr>
        <w:t>Venezuela, supra</w:t>
      </w:r>
      <w:r w:rsidR="00FF4C55">
        <w:rPr>
          <w:rFonts w:ascii="Verdana" w:hAnsi="Verdana"/>
          <w:i/>
          <w:spacing w:val="-12"/>
          <w:sz w:val="16"/>
          <w:szCs w:val="16"/>
        </w:rPr>
        <w:t xml:space="preserve"> </w:t>
      </w:r>
      <w:r w:rsidR="00FF4C55" w:rsidRPr="004D697E">
        <w:rPr>
          <w:rFonts w:ascii="Verdana" w:hAnsi="Verdana"/>
          <w:spacing w:val="-12"/>
          <w:sz w:val="16"/>
          <w:szCs w:val="16"/>
        </w:rPr>
        <w:t>nota 7</w:t>
      </w:r>
      <w:r w:rsidRPr="0061703D">
        <w:rPr>
          <w:rFonts w:ascii="Verdana" w:hAnsi="Verdana"/>
          <w:i/>
          <w:spacing w:val="-12"/>
          <w:sz w:val="16"/>
          <w:szCs w:val="16"/>
        </w:rPr>
        <w:t xml:space="preserve">, </w:t>
      </w:r>
      <w:r w:rsidRPr="0061703D">
        <w:rPr>
          <w:rFonts w:ascii="Verdana" w:hAnsi="Verdana"/>
          <w:spacing w:val="-12"/>
          <w:sz w:val="16"/>
          <w:szCs w:val="16"/>
        </w:rPr>
        <w:t>párr. 189.</w:t>
      </w:r>
    </w:p>
  </w:footnote>
  <w:footnote w:id="14">
    <w:p w14:paraId="106050CB" w14:textId="03267154" w:rsidR="009B2667" w:rsidRPr="0061703D" w:rsidRDefault="009B2667" w:rsidP="003F58E7">
      <w:pPr>
        <w:pStyle w:val="Textonotapie"/>
        <w:tabs>
          <w:tab w:val="left" w:pos="567"/>
        </w:tabs>
        <w:spacing w:before="120" w:after="120"/>
        <w:jc w:val="both"/>
        <w:rPr>
          <w:rFonts w:ascii="Verdana" w:hAnsi="Verdana"/>
          <w:spacing w:val="-12"/>
          <w:sz w:val="16"/>
          <w:szCs w:val="16"/>
          <w:lang w:val="es-ES_tradnl"/>
        </w:rPr>
      </w:pPr>
      <w:r w:rsidRPr="0061703D">
        <w:rPr>
          <w:rStyle w:val="Refdenotaalpie"/>
          <w:rFonts w:ascii="Verdana" w:eastAsia="Calibri" w:hAnsi="Verdana"/>
          <w:spacing w:val="-12"/>
          <w:sz w:val="16"/>
          <w:szCs w:val="16"/>
        </w:rPr>
        <w:footnoteRef/>
      </w:r>
      <w:r w:rsidRPr="0061703D">
        <w:rPr>
          <w:rFonts w:ascii="Verdana" w:hAnsi="Verdana"/>
          <w:spacing w:val="-12"/>
          <w:sz w:val="16"/>
          <w:szCs w:val="16"/>
        </w:rPr>
        <w:t xml:space="preserve"> </w:t>
      </w:r>
      <w:r w:rsidRPr="0061703D">
        <w:rPr>
          <w:rFonts w:ascii="Verdana" w:hAnsi="Verdana"/>
          <w:spacing w:val="-12"/>
          <w:sz w:val="16"/>
          <w:szCs w:val="16"/>
        </w:rPr>
        <w:tab/>
      </w:r>
      <w:r w:rsidRPr="0061703D">
        <w:rPr>
          <w:rFonts w:ascii="Verdana" w:hAnsi="Verdana"/>
          <w:i/>
          <w:spacing w:val="-12"/>
          <w:sz w:val="16"/>
          <w:szCs w:val="16"/>
        </w:rPr>
        <w:t>Cfr. Caso de la Corte Suprema de Justicia (Quintana Coello y otros) Vs. Ecuador</w:t>
      </w:r>
      <w:r w:rsidRPr="0061703D">
        <w:rPr>
          <w:rFonts w:ascii="Verdana" w:hAnsi="Verdana"/>
          <w:spacing w:val="-12"/>
          <w:sz w:val="16"/>
          <w:szCs w:val="16"/>
        </w:rPr>
        <w:t xml:space="preserve">, </w:t>
      </w:r>
      <w:r w:rsidRPr="0061703D">
        <w:rPr>
          <w:rFonts w:ascii="Verdana" w:hAnsi="Verdana"/>
          <w:i/>
          <w:spacing w:val="-12"/>
          <w:sz w:val="16"/>
          <w:szCs w:val="16"/>
        </w:rPr>
        <w:t>supra</w:t>
      </w:r>
      <w:r w:rsidR="004D697E">
        <w:rPr>
          <w:rFonts w:ascii="Verdana" w:hAnsi="Verdana"/>
          <w:i/>
          <w:spacing w:val="-12"/>
          <w:sz w:val="16"/>
          <w:szCs w:val="16"/>
        </w:rPr>
        <w:t xml:space="preserve"> </w:t>
      </w:r>
      <w:r w:rsidR="004D697E">
        <w:rPr>
          <w:rFonts w:ascii="Verdana" w:hAnsi="Verdana"/>
          <w:spacing w:val="-12"/>
          <w:sz w:val="16"/>
          <w:szCs w:val="16"/>
        </w:rPr>
        <w:t>nota 12</w:t>
      </w:r>
      <w:r w:rsidRPr="0061703D">
        <w:rPr>
          <w:rFonts w:ascii="Verdana" w:hAnsi="Verdana"/>
          <w:i/>
          <w:spacing w:val="-12"/>
          <w:sz w:val="16"/>
          <w:szCs w:val="16"/>
        </w:rPr>
        <w:t xml:space="preserve">, </w:t>
      </w:r>
      <w:r w:rsidRPr="0061703D">
        <w:rPr>
          <w:rFonts w:ascii="Verdana" w:hAnsi="Verdana"/>
          <w:spacing w:val="-12"/>
          <w:sz w:val="16"/>
          <w:szCs w:val="16"/>
        </w:rPr>
        <w:t xml:space="preserve">párr. 173, y </w:t>
      </w:r>
      <w:r w:rsidRPr="0061703D">
        <w:rPr>
          <w:rFonts w:ascii="Verdana" w:hAnsi="Verdana"/>
          <w:i/>
          <w:spacing w:val="-12"/>
          <w:sz w:val="16"/>
          <w:szCs w:val="16"/>
        </w:rPr>
        <w:t>Caso del Tribunal Constitucional (Camba Campos y otros) Vs. Ecuador</w:t>
      </w:r>
      <w:r w:rsidRPr="0061703D">
        <w:rPr>
          <w:rFonts w:ascii="Verdana" w:hAnsi="Verdana"/>
          <w:spacing w:val="-12"/>
          <w:sz w:val="16"/>
          <w:szCs w:val="16"/>
        </w:rPr>
        <w:t xml:space="preserve">, </w:t>
      </w:r>
      <w:r w:rsidRPr="0061703D">
        <w:rPr>
          <w:rFonts w:ascii="Verdana" w:hAnsi="Verdana"/>
          <w:i/>
          <w:spacing w:val="-12"/>
          <w:sz w:val="16"/>
          <w:szCs w:val="16"/>
        </w:rPr>
        <w:t>supra</w:t>
      </w:r>
      <w:r w:rsidR="004D697E">
        <w:rPr>
          <w:rFonts w:ascii="Verdana" w:hAnsi="Verdana"/>
          <w:i/>
          <w:spacing w:val="-12"/>
          <w:sz w:val="16"/>
          <w:szCs w:val="16"/>
        </w:rPr>
        <w:t xml:space="preserve"> </w:t>
      </w:r>
      <w:r w:rsidR="004D697E">
        <w:rPr>
          <w:rFonts w:ascii="Verdana" w:hAnsi="Verdana"/>
          <w:spacing w:val="-12"/>
          <w:sz w:val="16"/>
          <w:szCs w:val="16"/>
        </w:rPr>
        <w:t>nota 11</w:t>
      </w:r>
      <w:r w:rsidRPr="0061703D">
        <w:rPr>
          <w:rFonts w:ascii="Verdana" w:hAnsi="Verdana"/>
          <w:spacing w:val="-12"/>
          <w:sz w:val="16"/>
          <w:szCs w:val="16"/>
        </w:rPr>
        <w:t>,</w:t>
      </w:r>
      <w:r w:rsidRPr="0061703D">
        <w:rPr>
          <w:rFonts w:ascii="Verdana" w:hAnsi="Verdana"/>
          <w:i/>
          <w:spacing w:val="-12"/>
          <w:sz w:val="16"/>
          <w:szCs w:val="16"/>
        </w:rPr>
        <w:t xml:space="preserve"> </w:t>
      </w:r>
      <w:r w:rsidRPr="0061703D">
        <w:rPr>
          <w:rFonts w:ascii="Verdana" w:hAnsi="Verdana"/>
          <w:spacing w:val="-12"/>
          <w:sz w:val="16"/>
          <w:szCs w:val="16"/>
        </w:rPr>
        <w:t>párr. 210.</w:t>
      </w:r>
    </w:p>
  </w:footnote>
  <w:footnote w:id="15">
    <w:p w14:paraId="5A083357" w14:textId="3C098696" w:rsidR="009B2667" w:rsidRPr="0061703D" w:rsidRDefault="009B2667" w:rsidP="003F58E7">
      <w:pPr>
        <w:tabs>
          <w:tab w:val="left" w:pos="567"/>
        </w:tabs>
        <w:autoSpaceDE w:val="0"/>
        <w:autoSpaceDN w:val="0"/>
        <w:spacing w:before="120" w:after="120" w:line="240" w:lineRule="auto"/>
        <w:jc w:val="both"/>
        <w:rPr>
          <w:rFonts w:ascii="Verdana" w:hAnsi="Verdana" w:cs="Arial"/>
          <w:spacing w:val="-12"/>
          <w:sz w:val="16"/>
          <w:szCs w:val="16"/>
          <w:lang w:eastAsia="de-DE"/>
        </w:rPr>
      </w:pPr>
      <w:r w:rsidRPr="0061703D">
        <w:rPr>
          <w:rStyle w:val="Refdenotaalpie"/>
          <w:rFonts w:ascii="Verdana" w:eastAsia="Calibri" w:hAnsi="Verdana"/>
          <w:spacing w:val="-12"/>
          <w:sz w:val="16"/>
          <w:szCs w:val="16"/>
        </w:rPr>
        <w:footnoteRef/>
      </w:r>
      <w:r w:rsidRPr="0061703D">
        <w:rPr>
          <w:rFonts w:ascii="Verdana" w:hAnsi="Verdana"/>
          <w:spacing w:val="-12"/>
          <w:sz w:val="16"/>
          <w:szCs w:val="16"/>
        </w:rPr>
        <w:t xml:space="preserve"> </w:t>
      </w:r>
      <w:r w:rsidRPr="0061703D">
        <w:rPr>
          <w:rFonts w:ascii="Verdana" w:hAnsi="Verdana"/>
          <w:spacing w:val="-12"/>
          <w:sz w:val="16"/>
          <w:szCs w:val="16"/>
        </w:rPr>
        <w:tab/>
      </w:r>
      <w:r w:rsidRPr="0061703D">
        <w:rPr>
          <w:rFonts w:ascii="Verdana" w:hAnsi="Verdana"/>
          <w:i/>
          <w:spacing w:val="-12"/>
          <w:sz w:val="16"/>
          <w:szCs w:val="16"/>
        </w:rPr>
        <w:t>Cfr. Caso de la Corte Suprema de Justicia (Quintana Coello y otros) Vs. Ecuador</w:t>
      </w:r>
      <w:r w:rsidRPr="0061703D">
        <w:rPr>
          <w:rFonts w:ascii="Verdana" w:hAnsi="Verdana"/>
          <w:spacing w:val="-12"/>
          <w:sz w:val="16"/>
          <w:szCs w:val="16"/>
        </w:rPr>
        <w:t xml:space="preserve">, </w:t>
      </w:r>
      <w:r w:rsidRPr="0061703D">
        <w:rPr>
          <w:rFonts w:ascii="Verdana" w:hAnsi="Verdana"/>
          <w:i/>
          <w:spacing w:val="-12"/>
          <w:sz w:val="16"/>
          <w:szCs w:val="16"/>
        </w:rPr>
        <w:t xml:space="preserve">supra, </w:t>
      </w:r>
      <w:r w:rsidRPr="0061703D">
        <w:rPr>
          <w:rFonts w:ascii="Verdana" w:hAnsi="Verdana"/>
          <w:spacing w:val="-12"/>
          <w:sz w:val="16"/>
          <w:szCs w:val="16"/>
        </w:rPr>
        <w:t xml:space="preserve">párr. 173, y </w:t>
      </w:r>
      <w:r w:rsidRPr="0061703D">
        <w:rPr>
          <w:rFonts w:ascii="Verdana" w:hAnsi="Verdana"/>
          <w:i/>
          <w:spacing w:val="-12"/>
          <w:sz w:val="16"/>
          <w:szCs w:val="16"/>
        </w:rPr>
        <w:t>Caso del Tribunal Constitucional (Camba Campos y otros) Vs. Ecuador</w:t>
      </w:r>
      <w:r w:rsidRPr="0061703D">
        <w:rPr>
          <w:rFonts w:ascii="Verdana" w:hAnsi="Verdana"/>
          <w:spacing w:val="-12"/>
          <w:sz w:val="16"/>
          <w:szCs w:val="16"/>
        </w:rPr>
        <w:t xml:space="preserve">, </w:t>
      </w:r>
      <w:r w:rsidRPr="0061703D">
        <w:rPr>
          <w:rFonts w:ascii="Verdana" w:hAnsi="Verdana"/>
          <w:i/>
          <w:spacing w:val="-12"/>
          <w:sz w:val="16"/>
          <w:szCs w:val="16"/>
        </w:rPr>
        <w:t>supra,</w:t>
      </w:r>
      <w:r w:rsidRPr="0061703D">
        <w:rPr>
          <w:rFonts w:ascii="Verdana" w:hAnsi="Verdana"/>
          <w:spacing w:val="-12"/>
          <w:sz w:val="16"/>
          <w:szCs w:val="16"/>
        </w:rPr>
        <w:t xml:space="preserve"> párr. 210.</w:t>
      </w:r>
      <w:r w:rsidRPr="0061703D">
        <w:rPr>
          <w:rFonts w:ascii="Verdana" w:hAnsi="Verdana" w:cs="Arial"/>
          <w:spacing w:val="-12"/>
          <w:sz w:val="16"/>
          <w:szCs w:val="16"/>
          <w:lang w:eastAsia="de-DE"/>
        </w:rPr>
        <w:t xml:space="preserve"> La Corte Interamericana ha señalado que “la prueba directa, ya sea testimonial o documental, no es la única que puede legítimamente considerarse para fundar la sentencia. La prueba circunstancial, los indicios y las presunciones, pueden utilizarse, siempre que de ellos puedan inferirse conclusiones </w:t>
      </w:r>
      <w:r w:rsidR="004D697E">
        <w:rPr>
          <w:rFonts w:ascii="Verdana" w:hAnsi="Verdana" w:cs="Arial"/>
          <w:spacing w:val="-12"/>
          <w:sz w:val="16"/>
          <w:szCs w:val="16"/>
          <w:lang w:eastAsia="de-DE"/>
        </w:rPr>
        <w:t xml:space="preserve">consistentes sobre los hechos”. </w:t>
      </w:r>
      <w:r w:rsidRPr="0061703D">
        <w:rPr>
          <w:rFonts w:ascii="Verdana" w:hAnsi="Verdana"/>
          <w:i/>
          <w:spacing w:val="-12"/>
          <w:sz w:val="16"/>
          <w:szCs w:val="16"/>
        </w:rPr>
        <w:t>Cfr. Caso Velásquez Rodríguez Vs. Honduras. Fondo</w:t>
      </w:r>
      <w:r w:rsidR="007F7A97">
        <w:rPr>
          <w:rFonts w:ascii="Verdana" w:hAnsi="Verdana"/>
          <w:spacing w:val="-12"/>
          <w:sz w:val="16"/>
          <w:szCs w:val="16"/>
        </w:rPr>
        <w:t>. S</w:t>
      </w:r>
      <w:r w:rsidR="00696543">
        <w:rPr>
          <w:rFonts w:ascii="Verdana" w:hAnsi="Verdana"/>
          <w:spacing w:val="-12"/>
          <w:sz w:val="16"/>
          <w:szCs w:val="16"/>
        </w:rPr>
        <w:t>entencia de 29 de julio de 1988.</w:t>
      </w:r>
      <w:r w:rsidR="007F7A97">
        <w:rPr>
          <w:rFonts w:ascii="Verdana" w:hAnsi="Verdana"/>
          <w:spacing w:val="-12"/>
          <w:sz w:val="16"/>
          <w:szCs w:val="16"/>
        </w:rPr>
        <w:t xml:space="preserve"> Serie C No. 4, </w:t>
      </w:r>
      <w:r w:rsidR="004D697E">
        <w:rPr>
          <w:rFonts w:ascii="Verdana" w:hAnsi="Verdana"/>
          <w:spacing w:val="-12"/>
          <w:sz w:val="16"/>
          <w:szCs w:val="16"/>
        </w:rPr>
        <w:t>párr. 130.</w:t>
      </w:r>
    </w:p>
  </w:footnote>
  <w:footnote w:id="16">
    <w:p w14:paraId="07A68845" w14:textId="77777777" w:rsidR="009B2667" w:rsidRPr="0061703D" w:rsidRDefault="009B2667" w:rsidP="003F58E7">
      <w:pPr>
        <w:pStyle w:val="Textonotapie"/>
        <w:tabs>
          <w:tab w:val="left" w:pos="567"/>
        </w:tabs>
        <w:spacing w:before="120" w:after="120"/>
        <w:jc w:val="both"/>
        <w:rPr>
          <w:rFonts w:ascii="Verdana" w:hAnsi="Verdana"/>
          <w:i/>
          <w:spacing w:val="-12"/>
          <w:sz w:val="16"/>
          <w:szCs w:val="16"/>
        </w:rPr>
      </w:pPr>
      <w:r w:rsidRPr="0061703D">
        <w:rPr>
          <w:rStyle w:val="Refdenotaalpie"/>
          <w:rFonts w:ascii="Verdana" w:hAnsi="Verdana"/>
          <w:spacing w:val="-12"/>
          <w:sz w:val="16"/>
          <w:szCs w:val="16"/>
        </w:rPr>
        <w:footnoteRef/>
      </w:r>
      <w:r w:rsidRPr="0061703D">
        <w:rPr>
          <w:rFonts w:ascii="Verdana" w:hAnsi="Verdana"/>
          <w:spacing w:val="-12"/>
          <w:sz w:val="16"/>
          <w:szCs w:val="16"/>
        </w:rPr>
        <w:t xml:space="preserve"> </w:t>
      </w:r>
      <w:r w:rsidRPr="0061703D">
        <w:rPr>
          <w:rFonts w:ascii="Verdana" w:hAnsi="Verdana"/>
          <w:spacing w:val="-12"/>
          <w:sz w:val="16"/>
          <w:szCs w:val="16"/>
        </w:rPr>
        <w:tab/>
      </w:r>
      <w:r w:rsidRPr="0061703D">
        <w:rPr>
          <w:rFonts w:ascii="Verdana" w:hAnsi="Verdana"/>
          <w:i/>
          <w:spacing w:val="-12"/>
          <w:sz w:val="16"/>
          <w:szCs w:val="16"/>
        </w:rPr>
        <w:t>Cfr. Caso Granier y otros (</w:t>
      </w:r>
      <w:r w:rsidRPr="0061703D">
        <w:rPr>
          <w:rFonts w:ascii="Verdana" w:hAnsi="Verdana" w:cs="Cambria"/>
          <w:i/>
          <w:spacing w:val="-12"/>
          <w:sz w:val="16"/>
          <w:szCs w:val="16"/>
        </w:rPr>
        <w:t>Radio Caracas Televisión</w:t>
      </w:r>
      <w:r w:rsidRPr="0061703D">
        <w:rPr>
          <w:rFonts w:ascii="Verdana" w:hAnsi="Verdana"/>
          <w:i/>
          <w:spacing w:val="-12"/>
          <w:sz w:val="16"/>
          <w:szCs w:val="16"/>
        </w:rPr>
        <w:t xml:space="preserve">) Vs.  Venezuela, supra, </w:t>
      </w:r>
      <w:r w:rsidRPr="0061703D">
        <w:rPr>
          <w:rFonts w:ascii="Verdana" w:hAnsi="Verdana"/>
          <w:spacing w:val="-12"/>
          <w:sz w:val="16"/>
          <w:szCs w:val="16"/>
        </w:rPr>
        <w:t xml:space="preserve">párr. 189., y </w:t>
      </w:r>
      <w:r w:rsidRPr="0061703D">
        <w:rPr>
          <w:rFonts w:ascii="Verdana" w:hAnsi="Verdana"/>
          <w:i/>
          <w:spacing w:val="-12"/>
          <w:sz w:val="16"/>
          <w:szCs w:val="16"/>
        </w:rPr>
        <w:t>Caso San Miguel Sosa</w:t>
      </w:r>
    </w:p>
  </w:footnote>
  <w:footnote w:id="17">
    <w:p w14:paraId="57475CED" w14:textId="7F722EF1" w:rsidR="00E71559" w:rsidRPr="0061703D" w:rsidRDefault="00E71559" w:rsidP="003F58E7">
      <w:pPr>
        <w:pStyle w:val="Textonotapie"/>
        <w:spacing w:before="120" w:after="120"/>
        <w:jc w:val="both"/>
        <w:rPr>
          <w:rFonts w:ascii="Verdana" w:hAnsi="Verdana"/>
          <w:sz w:val="16"/>
          <w:szCs w:val="16"/>
        </w:rPr>
      </w:pPr>
      <w:r w:rsidRPr="0061703D">
        <w:rPr>
          <w:rStyle w:val="Refdenotaalpie"/>
          <w:rFonts w:ascii="Verdana" w:hAnsi="Verdana"/>
          <w:sz w:val="16"/>
          <w:szCs w:val="16"/>
        </w:rPr>
        <w:footnoteRef/>
      </w:r>
      <w:r w:rsidRPr="0061703D">
        <w:rPr>
          <w:rFonts w:ascii="Verdana" w:hAnsi="Verdana"/>
          <w:sz w:val="16"/>
          <w:szCs w:val="16"/>
        </w:rPr>
        <w:t xml:space="preserve"> </w:t>
      </w:r>
      <w:r w:rsidRPr="0061703D">
        <w:rPr>
          <w:rFonts w:ascii="Verdana" w:hAnsi="Verdana"/>
          <w:sz w:val="16"/>
          <w:szCs w:val="16"/>
        </w:rPr>
        <w:tab/>
      </w:r>
      <w:r w:rsidRPr="0061703D">
        <w:rPr>
          <w:rFonts w:ascii="Verdana" w:hAnsi="Verdana"/>
          <w:i/>
          <w:sz w:val="16"/>
          <w:szCs w:val="16"/>
        </w:rPr>
        <w:t xml:space="preserve">Cfr. </w:t>
      </w:r>
      <w:r w:rsidRPr="0061703D">
        <w:rPr>
          <w:rFonts w:ascii="Verdana" w:hAnsi="Verdana"/>
          <w:sz w:val="16"/>
          <w:szCs w:val="16"/>
        </w:rPr>
        <w:t xml:space="preserve">Luzzani, Telma, </w:t>
      </w:r>
      <w:r w:rsidRPr="0061703D">
        <w:rPr>
          <w:rFonts w:ascii="Verdana" w:hAnsi="Verdana"/>
          <w:i/>
          <w:sz w:val="16"/>
          <w:szCs w:val="16"/>
        </w:rPr>
        <w:t>Lawfare, el nuevo ensayo neoliberal</w:t>
      </w:r>
      <w:r w:rsidRPr="0061703D">
        <w:rPr>
          <w:rFonts w:ascii="Verdana" w:hAnsi="Verdana"/>
          <w:sz w:val="16"/>
          <w:szCs w:val="16"/>
        </w:rPr>
        <w:t xml:space="preserve">, disponible en </w:t>
      </w:r>
      <w:hyperlink r:id="rId3" w:history="1">
        <w:r w:rsidRPr="008B65EB">
          <w:rPr>
            <w:rStyle w:val="Hipervnculo"/>
            <w:rFonts w:ascii="Verdana" w:hAnsi="Verdana"/>
            <w:color w:val="auto"/>
            <w:sz w:val="16"/>
            <w:szCs w:val="16"/>
            <w:u w:val="none"/>
          </w:rPr>
          <w:t>https://cronicon.net/wp/lawfare-el-nuevo-ensayo-neoliberal/</w:t>
        </w:r>
      </w:hyperlink>
      <w:r w:rsidR="0056101A" w:rsidRPr="008B65EB">
        <w:rPr>
          <w:rStyle w:val="Hipervnculo"/>
          <w:rFonts w:ascii="Verdana" w:hAnsi="Verdana"/>
          <w:color w:val="auto"/>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A9D2" w14:textId="77777777" w:rsidR="00076CF8" w:rsidRDefault="00076C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C257" w14:textId="77777777" w:rsidR="00076CF8" w:rsidRDefault="00076C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D703" w14:textId="77777777" w:rsidR="00076CF8" w:rsidRDefault="00076C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93AC8"/>
    <w:multiLevelType w:val="hybridMultilevel"/>
    <w:tmpl w:val="889EBA74"/>
    <w:lvl w:ilvl="0" w:tplc="A3B256C4">
      <w:start w:val="1"/>
      <w:numFmt w:val="decimal"/>
      <w:lvlText w:val="%1."/>
      <w:lvlJc w:val="left"/>
      <w:pPr>
        <w:ind w:left="5811" w:hanging="708"/>
      </w:pPr>
      <w:rPr>
        <w:rFonts w:ascii="Verdana" w:hAnsi="Verdana" w:hint="default"/>
        <w:b w:val="0"/>
        <w:i w:val="0"/>
        <w:strike w:val="0"/>
        <w:color w:val="auto"/>
        <w:sz w:val="20"/>
        <w:szCs w:val="20"/>
        <w:vertAlign w:val="baseline"/>
      </w:rPr>
    </w:lvl>
    <w:lvl w:ilvl="1" w:tplc="140A0019">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n-US" w:vendorID="64" w:dllVersion="6" w:nlCheck="1" w:checkStyle="1"/>
  <w:activeWritingStyle w:appName="MSWord" w:lang="es-CR" w:vendorID="64" w:dllVersion="6" w:nlCheck="1" w:checkStyle="0"/>
  <w:activeWritingStyle w:appName="MSWord" w:lang="es-CR" w:vendorID="64" w:dllVersion="4096" w:nlCheck="1" w:checkStyle="0"/>
  <w:activeWritingStyle w:appName="MSWord" w:lang="es-DO"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DO" w:vendorID="64" w:dllVersion="6" w:nlCheck="1" w:checkStyle="1"/>
  <w:activeWritingStyle w:appName="MSWord" w:lang="es-E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66"/>
    <w:rsid w:val="00000A0E"/>
    <w:rsid w:val="00017565"/>
    <w:rsid w:val="000219CB"/>
    <w:rsid w:val="000262A3"/>
    <w:rsid w:val="000720C1"/>
    <w:rsid w:val="00076CF8"/>
    <w:rsid w:val="000947A2"/>
    <w:rsid w:val="00096A05"/>
    <w:rsid w:val="000A78D8"/>
    <w:rsid w:val="000B1C7A"/>
    <w:rsid w:val="000C2E9C"/>
    <w:rsid w:val="000D6B8A"/>
    <w:rsid w:val="000E2A3C"/>
    <w:rsid w:val="00114F66"/>
    <w:rsid w:val="001161A8"/>
    <w:rsid w:val="00125538"/>
    <w:rsid w:val="00133261"/>
    <w:rsid w:val="001374D8"/>
    <w:rsid w:val="00140236"/>
    <w:rsid w:val="00144B5F"/>
    <w:rsid w:val="001463B1"/>
    <w:rsid w:val="00147632"/>
    <w:rsid w:val="00192519"/>
    <w:rsid w:val="00194969"/>
    <w:rsid w:val="001F6C3C"/>
    <w:rsid w:val="00201BC2"/>
    <w:rsid w:val="00217F1E"/>
    <w:rsid w:val="002207C4"/>
    <w:rsid w:val="00220B65"/>
    <w:rsid w:val="00223B4F"/>
    <w:rsid w:val="00231C19"/>
    <w:rsid w:val="00236F81"/>
    <w:rsid w:val="0024227A"/>
    <w:rsid w:val="002666CA"/>
    <w:rsid w:val="00272C7A"/>
    <w:rsid w:val="00292D0C"/>
    <w:rsid w:val="00297993"/>
    <w:rsid w:val="002D1988"/>
    <w:rsid w:val="002D3EB8"/>
    <w:rsid w:val="002D73BB"/>
    <w:rsid w:val="002F5015"/>
    <w:rsid w:val="00306B5D"/>
    <w:rsid w:val="00323001"/>
    <w:rsid w:val="00336C30"/>
    <w:rsid w:val="00341E61"/>
    <w:rsid w:val="00347CC4"/>
    <w:rsid w:val="00350277"/>
    <w:rsid w:val="00356926"/>
    <w:rsid w:val="0036657D"/>
    <w:rsid w:val="0037190B"/>
    <w:rsid w:val="00393FEA"/>
    <w:rsid w:val="00397EB8"/>
    <w:rsid w:val="003A2498"/>
    <w:rsid w:val="003B31F6"/>
    <w:rsid w:val="003B7384"/>
    <w:rsid w:val="003D79E0"/>
    <w:rsid w:val="003F58E7"/>
    <w:rsid w:val="00414A57"/>
    <w:rsid w:val="00456346"/>
    <w:rsid w:val="0046423B"/>
    <w:rsid w:val="00480307"/>
    <w:rsid w:val="00492583"/>
    <w:rsid w:val="00492EE3"/>
    <w:rsid w:val="004A1A73"/>
    <w:rsid w:val="004C52DB"/>
    <w:rsid w:val="004D4A6A"/>
    <w:rsid w:val="004D697E"/>
    <w:rsid w:val="004E0814"/>
    <w:rsid w:val="004F68A4"/>
    <w:rsid w:val="0052298A"/>
    <w:rsid w:val="0054755C"/>
    <w:rsid w:val="0056101A"/>
    <w:rsid w:val="005677D9"/>
    <w:rsid w:val="00567941"/>
    <w:rsid w:val="00577544"/>
    <w:rsid w:val="00590BA0"/>
    <w:rsid w:val="005B2533"/>
    <w:rsid w:val="005B3411"/>
    <w:rsid w:val="005C16C2"/>
    <w:rsid w:val="005C736A"/>
    <w:rsid w:val="005D034B"/>
    <w:rsid w:val="005F6770"/>
    <w:rsid w:val="005F7836"/>
    <w:rsid w:val="00616259"/>
    <w:rsid w:val="0061703D"/>
    <w:rsid w:val="006209D4"/>
    <w:rsid w:val="00645516"/>
    <w:rsid w:val="00667BB3"/>
    <w:rsid w:val="006941BD"/>
    <w:rsid w:val="00696543"/>
    <w:rsid w:val="00696BC6"/>
    <w:rsid w:val="006B404F"/>
    <w:rsid w:val="006D207B"/>
    <w:rsid w:val="006D493A"/>
    <w:rsid w:val="006D567A"/>
    <w:rsid w:val="006F77F1"/>
    <w:rsid w:val="00750397"/>
    <w:rsid w:val="007B3066"/>
    <w:rsid w:val="007C23CB"/>
    <w:rsid w:val="007C3D53"/>
    <w:rsid w:val="007F1A50"/>
    <w:rsid w:val="007F7A97"/>
    <w:rsid w:val="00812C51"/>
    <w:rsid w:val="00816D95"/>
    <w:rsid w:val="008177BE"/>
    <w:rsid w:val="00836C68"/>
    <w:rsid w:val="008439D0"/>
    <w:rsid w:val="00857C82"/>
    <w:rsid w:val="00882F09"/>
    <w:rsid w:val="008B65EB"/>
    <w:rsid w:val="008C2C88"/>
    <w:rsid w:val="008D7DE9"/>
    <w:rsid w:val="008E10A9"/>
    <w:rsid w:val="008F2044"/>
    <w:rsid w:val="008F7AC0"/>
    <w:rsid w:val="009019DE"/>
    <w:rsid w:val="009052F1"/>
    <w:rsid w:val="009071B8"/>
    <w:rsid w:val="00921D2C"/>
    <w:rsid w:val="00944DC1"/>
    <w:rsid w:val="00951E19"/>
    <w:rsid w:val="00966CE6"/>
    <w:rsid w:val="00980CDF"/>
    <w:rsid w:val="00983D35"/>
    <w:rsid w:val="009B2667"/>
    <w:rsid w:val="009B5758"/>
    <w:rsid w:val="009B6CD2"/>
    <w:rsid w:val="009B6DA7"/>
    <w:rsid w:val="00A04E72"/>
    <w:rsid w:val="00A118CD"/>
    <w:rsid w:val="00A335DA"/>
    <w:rsid w:val="00A350EE"/>
    <w:rsid w:val="00A40EB3"/>
    <w:rsid w:val="00A578C6"/>
    <w:rsid w:val="00A65F2D"/>
    <w:rsid w:val="00A7198B"/>
    <w:rsid w:val="00A77A48"/>
    <w:rsid w:val="00A8155D"/>
    <w:rsid w:val="00A9000C"/>
    <w:rsid w:val="00AA4389"/>
    <w:rsid w:val="00AB264B"/>
    <w:rsid w:val="00AB2F35"/>
    <w:rsid w:val="00AB5A67"/>
    <w:rsid w:val="00AB77EB"/>
    <w:rsid w:val="00AD73A4"/>
    <w:rsid w:val="00AE1F05"/>
    <w:rsid w:val="00AF3759"/>
    <w:rsid w:val="00B12E5D"/>
    <w:rsid w:val="00B36506"/>
    <w:rsid w:val="00B414D6"/>
    <w:rsid w:val="00B67958"/>
    <w:rsid w:val="00B70024"/>
    <w:rsid w:val="00B84892"/>
    <w:rsid w:val="00B84A60"/>
    <w:rsid w:val="00B9237C"/>
    <w:rsid w:val="00B9689F"/>
    <w:rsid w:val="00BA0F89"/>
    <w:rsid w:val="00BB03CE"/>
    <w:rsid w:val="00BB203C"/>
    <w:rsid w:val="00BB7A53"/>
    <w:rsid w:val="00BC2ECA"/>
    <w:rsid w:val="00BC4419"/>
    <w:rsid w:val="00BC6C6C"/>
    <w:rsid w:val="00BE5B41"/>
    <w:rsid w:val="00BF782D"/>
    <w:rsid w:val="00C23661"/>
    <w:rsid w:val="00C301F3"/>
    <w:rsid w:val="00C310E7"/>
    <w:rsid w:val="00C44180"/>
    <w:rsid w:val="00C44B1D"/>
    <w:rsid w:val="00C57D4C"/>
    <w:rsid w:val="00C602DB"/>
    <w:rsid w:val="00C72FFA"/>
    <w:rsid w:val="00C87BB4"/>
    <w:rsid w:val="00C87BEA"/>
    <w:rsid w:val="00C949CA"/>
    <w:rsid w:val="00C97C4A"/>
    <w:rsid w:val="00CA08E9"/>
    <w:rsid w:val="00CA7FF0"/>
    <w:rsid w:val="00CC0295"/>
    <w:rsid w:val="00CC206C"/>
    <w:rsid w:val="00CC3E15"/>
    <w:rsid w:val="00CC47CC"/>
    <w:rsid w:val="00CC6CA1"/>
    <w:rsid w:val="00CE1B26"/>
    <w:rsid w:val="00CE5865"/>
    <w:rsid w:val="00D110DD"/>
    <w:rsid w:val="00D25B33"/>
    <w:rsid w:val="00D323CB"/>
    <w:rsid w:val="00D630E6"/>
    <w:rsid w:val="00D927A1"/>
    <w:rsid w:val="00DB599B"/>
    <w:rsid w:val="00DC73CF"/>
    <w:rsid w:val="00DE1D70"/>
    <w:rsid w:val="00DE1FFD"/>
    <w:rsid w:val="00DE7C41"/>
    <w:rsid w:val="00E204C7"/>
    <w:rsid w:val="00E2173D"/>
    <w:rsid w:val="00E34780"/>
    <w:rsid w:val="00E34B08"/>
    <w:rsid w:val="00E37755"/>
    <w:rsid w:val="00E7049D"/>
    <w:rsid w:val="00E71559"/>
    <w:rsid w:val="00E75B46"/>
    <w:rsid w:val="00E83471"/>
    <w:rsid w:val="00E94364"/>
    <w:rsid w:val="00E9795B"/>
    <w:rsid w:val="00EA45B5"/>
    <w:rsid w:val="00EB722B"/>
    <w:rsid w:val="00ED5C6D"/>
    <w:rsid w:val="00EE5FD4"/>
    <w:rsid w:val="00F20B56"/>
    <w:rsid w:val="00F22857"/>
    <w:rsid w:val="00F232A6"/>
    <w:rsid w:val="00F315A2"/>
    <w:rsid w:val="00F43A1A"/>
    <w:rsid w:val="00F536C4"/>
    <w:rsid w:val="00F7544B"/>
    <w:rsid w:val="00F87B04"/>
    <w:rsid w:val="00FD0598"/>
    <w:rsid w:val="00FF4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16C"/>
  <w15:docId w15:val="{338DD390-CEB9-428D-98AB-F23626FC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66"/>
    <w:pPr>
      <w:spacing w:after="160" w:line="259" w:lineRule="auto"/>
    </w:pPr>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114F6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114F66"/>
    <w:rPr>
      <w:sz w:val="20"/>
      <w:szCs w:val="20"/>
      <w:lang w:val="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114F6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14F66"/>
    <w:pPr>
      <w:spacing w:after="0" w:line="240" w:lineRule="auto"/>
      <w:jc w:val="both"/>
    </w:pPr>
    <w:rPr>
      <w:vertAlign w:val="superscript"/>
      <w:lang w:val="en-US"/>
    </w:rPr>
  </w:style>
  <w:style w:type="character" w:styleId="Hipervnculo">
    <w:name w:val="Hyperlink"/>
    <w:basedOn w:val="Fuentedeprrafopredeter"/>
    <w:uiPriority w:val="99"/>
    <w:unhideWhenUsed/>
    <w:rsid w:val="00114F66"/>
    <w:rPr>
      <w:color w:val="0000FF"/>
      <w:u w:val="single"/>
    </w:rPr>
  </w:style>
  <w:style w:type="character" w:styleId="Textoennegrita">
    <w:name w:val="Strong"/>
    <w:aliases w:val="Heading 2.1"/>
    <w:basedOn w:val="Fuentedeprrafopredeter"/>
    <w:uiPriority w:val="22"/>
    <w:qFormat/>
    <w:rsid w:val="00114F66"/>
    <w:rPr>
      <w:b/>
      <w:bCs/>
    </w:rPr>
  </w:style>
  <w:style w:type="paragraph" w:customStyle="1" w:styleId="PrrafodeSentencia">
    <w:name w:val="*. Párrafo de Sentencia"/>
    <w:basedOn w:val="Textonotapie"/>
    <w:link w:val="PrrafodeSentenciaChar"/>
    <w:autoRedefine/>
    <w:qFormat/>
    <w:rsid w:val="00BB03CE"/>
    <w:pPr>
      <w:tabs>
        <w:tab w:val="left" w:pos="709"/>
      </w:tabs>
      <w:autoSpaceDE w:val="0"/>
      <w:autoSpaceDN w:val="0"/>
      <w:adjustRightInd w:val="0"/>
      <w:jc w:val="both"/>
    </w:pPr>
    <w:rPr>
      <w:rFonts w:ascii="Verdana" w:eastAsia="Calibri" w:hAnsi="Verdana" w:cstheme="minorHAnsi"/>
      <w:b/>
      <w:bCs/>
      <w:iCs/>
      <w:noProof/>
      <w:lang w:val="es-CO" w:eastAsia="es-CR"/>
    </w:rPr>
  </w:style>
  <w:style w:type="character" w:customStyle="1" w:styleId="PrrafodeSentenciaChar">
    <w:name w:val="*. Párrafo de Sentencia Char"/>
    <w:link w:val="PrrafodeSentencia"/>
    <w:locked/>
    <w:rsid w:val="00BB03CE"/>
    <w:rPr>
      <w:rFonts w:ascii="Verdana" w:eastAsia="Calibri" w:hAnsi="Verdana" w:cstheme="minorHAnsi"/>
      <w:b/>
      <w:bCs/>
      <w:iCs/>
      <w:noProof/>
      <w:sz w:val="20"/>
      <w:szCs w:val="20"/>
      <w:lang w:val="es-CO" w:eastAsia="es-CR"/>
    </w:rPr>
  </w:style>
  <w:style w:type="character" w:styleId="Refdecomentario">
    <w:name w:val="annotation reference"/>
    <w:basedOn w:val="Fuentedeprrafopredeter"/>
    <w:uiPriority w:val="99"/>
    <w:semiHidden/>
    <w:unhideWhenUsed/>
    <w:rsid w:val="00114F66"/>
    <w:rPr>
      <w:sz w:val="16"/>
      <w:szCs w:val="16"/>
    </w:rPr>
  </w:style>
  <w:style w:type="paragraph" w:styleId="Textocomentario">
    <w:name w:val="annotation text"/>
    <w:basedOn w:val="Normal"/>
    <w:link w:val="TextocomentarioCar"/>
    <w:uiPriority w:val="99"/>
    <w:semiHidden/>
    <w:unhideWhenUsed/>
    <w:rsid w:val="00114F66"/>
    <w:pPr>
      <w:spacing w:after="200" w:line="240" w:lineRule="auto"/>
    </w:pPr>
    <w:rPr>
      <w:rFonts w:eastAsia="Batang"/>
      <w:sz w:val="20"/>
      <w:szCs w:val="20"/>
      <w:lang w:val="es-MX"/>
    </w:rPr>
  </w:style>
  <w:style w:type="character" w:customStyle="1" w:styleId="TextocomentarioCar">
    <w:name w:val="Texto comentario Car"/>
    <w:basedOn w:val="Fuentedeprrafopredeter"/>
    <w:link w:val="Textocomentario"/>
    <w:uiPriority w:val="99"/>
    <w:semiHidden/>
    <w:rsid w:val="00114F66"/>
    <w:rPr>
      <w:rFonts w:eastAsia="Batang"/>
      <w:sz w:val="20"/>
      <w:szCs w:val="20"/>
      <w:lang w:val="es-MX"/>
    </w:rPr>
  </w:style>
  <w:style w:type="paragraph" w:styleId="Textodeglobo">
    <w:name w:val="Balloon Text"/>
    <w:basedOn w:val="Normal"/>
    <w:link w:val="TextodegloboCar"/>
    <w:uiPriority w:val="99"/>
    <w:semiHidden/>
    <w:unhideWhenUsed/>
    <w:rsid w:val="00114F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F66"/>
    <w:rPr>
      <w:rFonts w:ascii="Tahoma" w:hAnsi="Tahoma" w:cs="Tahoma"/>
      <w:sz w:val="16"/>
      <w:szCs w:val="16"/>
      <w:lang w:val="es-CR"/>
    </w:rPr>
  </w:style>
  <w:style w:type="paragraph" w:styleId="Encabezado">
    <w:name w:val="header"/>
    <w:basedOn w:val="Normal"/>
    <w:link w:val="EncabezadoCar"/>
    <w:uiPriority w:val="99"/>
    <w:unhideWhenUsed/>
    <w:rsid w:val="00E8347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3471"/>
    <w:rPr>
      <w:lang w:val="es-CR"/>
    </w:rPr>
  </w:style>
  <w:style w:type="paragraph" w:styleId="Piedepgina">
    <w:name w:val="footer"/>
    <w:basedOn w:val="Normal"/>
    <w:link w:val="PiedepginaCar"/>
    <w:uiPriority w:val="99"/>
    <w:unhideWhenUsed/>
    <w:rsid w:val="00E8347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3471"/>
    <w:rPr>
      <w:lang w:val="es-CR"/>
    </w:rPr>
  </w:style>
  <w:style w:type="character" w:styleId="Hipervnculovisitado">
    <w:name w:val="FollowedHyperlink"/>
    <w:basedOn w:val="Fuentedeprrafopredeter"/>
    <w:uiPriority w:val="99"/>
    <w:semiHidden/>
    <w:unhideWhenUsed/>
    <w:rsid w:val="005F7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5696">
      <w:bodyDiv w:val="1"/>
      <w:marLeft w:val="0"/>
      <w:marRight w:val="0"/>
      <w:marTop w:val="0"/>
      <w:marBottom w:val="0"/>
      <w:divBdr>
        <w:top w:val="none" w:sz="0" w:space="0" w:color="auto"/>
        <w:left w:val="none" w:sz="0" w:space="0" w:color="auto"/>
        <w:bottom w:val="none" w:sz="0" w:space="0" w:color="auto"/>
        <w:right w:val="none" w:sz="0" w:space="0" w:color="auto"/>
      </w:divBdr>
    </w:div>
    <w:div w:id="309477886">
      <w:bodyDiv w:val="1"/>
      <w:marLeft w:val="0"/>
      <w:marRight w:val="0"/>
      <w:marTop w:val="0"/>
      <w:marBottom w:val="0"/>
      <w:divBdr>
        <w:top w:val="none" w:sz="0" w:space="0" w:color="auto"/>
        <w:left w:val="none" w:sz="0" w:space="0" w:color="auto"/>
        <w:bottom w:val="none" w:sz="0" w:space="0" w:color="auto"/>
        <w:right w:val="none" w:sz="0" w:space="0" w:color="auto"/>
      </w:divBdr>
    </w:div>
    <w:div w:id="876895209">
      <w:bodyDiv w:val="1"/>
      <w:marLeft w:val="0"/>
      <w:marRight w:val="0"/>
      <w:marTop w:val="0"/>
      <w:marBottom w:val="0"/>
      <w:divBdr>
        <w:top w:val="none" w:sz="0" w:space="0" w:color="auto"/>
        <w:left w:val="none" w:sz="0" w:space="0" w:color="auto"/>
        <w:bottom w:val="none" w:sz="0" w:space="0" w:color="auto"/>
        <w:right w:val="none" w:sz="0" w:space="0" w:color="auto"/>
      </w:divBdr>
    </w:div>
    <w:div w:id="1173379284">
      <w:bodyDiv w:val="1"/>
      <w:marLeft w:val="0"/>
      <w:marRight w:val="0"/>
      <w:marTop w:val="0"/>
      <w:marBottom w:val="0"/>
      <w:divBdr>
        <w:top w:val="none" w:sz="0" w:space="0" w:color="auto"/>
        <w:left w:val="none" w:sz="0" w:space="0" w:color="auto"/>
        <w:bottom w:val="none" w:sz="0" w:space="0" w:color="auto"/>
        <w:right w:val="none" w:sz="0" w:space="0" w:color="auto"/>
      </w:divBdr>
    </w:div>
    <w:div w:id="1715423923">
      <w:bodyDiv w:val="1"/>
      <w:marLeft w:val="0"/>
      <w:marRight w:val="0"/>
      <w:marTop w:val="0"/>
      <w:marBottom w:val="0"/>
      <w:divBdr>
        <w:top w:val="none" w:sz="0" w:space="0" w:color="auto"/>
        <w:left w:val="none" w:sz="0" w:space="0" w:color="auto"/>
        <w:bottom w:val="none" w:sz="0" w:space="0" w:color="auto"/>
        <w:right w:val="none" w:sz="0" w:space="0" w:color="auto"/>
      </w:divBdr>
    </w:div>
    <w:div w:id="18727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onicon.net/wp/lawfare-el-nuevo-ensayo-neoliberal/" TargetMode="External"/><Relationship Id="rId2" Type="http://schemas.openxmlformats.org/officeDocument/2006/relationships/hyperlink" Target="https://www.las2orillas.co/gustavo-petro-asesino-colombianos-quemo-el-palacio-de-justicia-y-no-pago-por-sus-crimenes-alejandro-ordonez/" TargetMode="External"/><Relationship Id="rId1" Type="http://schemas.openxmlformats.org/officeDocument/2006/relationships/hyperlink" Target="https://www.las2orillas.co/gustavo-petro-asesino-colombianos-quemo-el-palacio-de-justicia-y-no-pago-por-sus-crimenes-alejandro-ordon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BEF0-2BD9-4280-9286-2E0280D2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2816</Words>
  <Characters>15490</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4</cp:revision>
  <cp:lastPrinted>2020-08-18T19:05:00Z</cp:lastPrinted>
  <dcterms:created xsi:type="dcterms:W3CDTF">2020-08-18T19:51:00Z</dcterms:created>
  <dcterms:modified xsi:type="dcterms:W3CDTF">2020-08-18T23:29:00Z</dcterms:modified>
</cp:coreProperties>
</file>